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90" w:rsidRDefault="00813E90" w:rsidP="00EB6C14">
      <w:pPr>
        <w:jc w:val="center"/>
        <w:rPr>
          <w:rFonts w:ascii="Times New Roman" w:hAnsi="Times New Roman" w:cs="Times New Roman"/>
          <w:sz w:val="28"/>
          <w:szCs w:val="24"/>
        </w:rPr>
      </w:pPr>
      <w:bookmarkStart w:id="0" w:name="_GoBack"/>
      <w:bookmarkEnd w:id="0"/>
    </w:p>
    <w:p w:rsidR="00813E90" w:rsidRDefault="00813E90" w:rsidP="00EB6C14">
      <w:pPr>
        <w:jc w:val="center"/>
        <w:rPr>
          <w:rFonts w:ascii="Times New Roman" w:hAnsi="Times New Roman" w:cs="Times New Roman"/>
          <w:sz w:val="28"/>
          <w:szCs w:val="24"/>
        </w:rPr>
      </w:pPr>
    </w:p>
    <w:p w:rsidR="00665189" w:rsidRDefault="00665189" w:rsidP="00F0265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4"/>
        </w:rPr>
      </w:pPr>
      <w:r>
        <w:rPr>
          <w:rFonts w:ascii="Times New Roman" w:hAnsi="Times New Roman" w:cs="Times New Roman"/>
          <w:sz w:val="28"/>
          <w:szCs w:val="24"/>
        </w:rPr>
        <w:t xml:space="preserve">Centro Studi per la Scuola Cattolica, </w:t>
      </w:r>
      <w:r>
        <w:rPr>
          <w:rFonts w:ascii="Times New Roman" w:hAnsi="Times New Roman" w:cs="Times New Roman"/>
          <w:i/>
          <w:sz w:val="28"/>
          <w:szCs w:val="24"/>
        </w:rPr>
        <w:t>Il valore della parità. Scuola Cattolica in Italia. Diciannovesimo Rapporto</w:t>
      </w:r>
      <w:r>
        <w:rPr>
          <w:rFonts w:ascii="Times New Roman" w:hAnsi="Times New Roman" w:cs="Times New Roman"/>
          <w:sz w:val="28"/>
          <w:szCs w:val="24"/>
        </w:rPr>
        <w:t xml:space="preserve">, La Scuola, Brescia 2017, pp. </w:t>
      </w:r>
      <w:r w:rsidR="00813E90">
        <w:rPr>
          <w:rFonts w:ascii="Times New Roman" w:hAnsi="Times New Roman" w:cs="Times New Roman"/>
          <w:sz w:val="28"/>
          <w:szCs w:val="24"/>
        </w:rPr>
        <w:t>305-13</w:t>
      </w:r>
    </w:p>
    <w:p w:rsidR="00813E90" w:rsidRDefault="00813E90" w:rsidP="00F0265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4"/>
        </w:rPr>
      </w:pPr>
      <w:r>
        <w:rPr>
          <w:rFonts w:ascii="Times New Roman" w:hAnsi="Times New Roman" w:cs="Times New Roman"/>
          <w:sz w:val="28"/>
          <w:szCs w:val="24"/>
        </w:rPr>
        <w:t>(capitolo conclusivo)</w:t>
      </w:r>
    </w:p>
    <w:p w:rsidR="00813E90" w:rsidRDefault="00813E90" w:rsidP="00813E90">
      <w:pPr>
        <w:rPr>
          <w:rFonts w:ascii="Times New Roman" w:hAnsi="Times New Roman" w:cs="Times New Roman"/>
          <w:sz w:val="28"/>
          <w:szCs w:val="24"/>
        </w:rPr>
      </w:pPr>
    </w:p>
    <w:p w:rsidR="00813E90" w:rsidRDefault="00813E90" w:rsidP="00813E90">
      <w:pPr>
        <w:rPr>
          <w:rFonts w:ascii="Times New Roman" w:hAnsi="Times New Roman" w:cs="Times New Roman"/>
          <w:sz w:val="28"/>
          <w:szCs w:val="24"/>
        </w:rPr>
      </w:pPr>
    </w:p>
    <w:p w:rsidR="00813E90" w:rsidRDefault="00813E90" w:rsidP="00813E90">
      <w:pPr>
        <w:rPr>
          <w:rFonts w:ascii="Times New Roman" w:hAnsi="Times New Roman" w:cs="Times New Roman"/>
          <w:sz w:val="28"/>
          <w:szCs w:val="24"/>
        </w:rPr>
      </w:pPr>
    </w:p>
    <w:p w:rsidR="00813E90" w:rsidRDefault="00813E90" w:rsidP="00813E90">
      <w:pPr>
        <w:rPr>
          <w:rFonts w:ascii="Times New Roman" w:hAnsi="Times New Roman" w:cs="Times New Roman"/>
          <w:sz w:val="28"/>
          <w:szCs w:val="24"/>
        </w:rPr>
      </w:pPr>
    </w:p>
    <w:p w:rsidR="00813E90" w:rsidRPr="00665189" w:rsidRDefault="00813E90" w:rsidP="00813E90">
      <w:pPr>
        <w:rPr>
          <w:rFonts w:ascii="Times New Roman" w:hAnsi="Times New Roman" w:cs="Times New Roman"/>
          <w:sz w:val="28"/>
          <w:szCs w:val="24"/>
        </w:rPr>
      </w:pPr>
    </w:p>
    <w:p w:rsidR="00655EDD" w:rsidRPr="00655EDD" w:rsidRDefault="00655EDD" w:rsidP="00EB6C14">
      <w:pPr>
        <w:jc w:val="center"/>
        <w:rPr>
          <w:rFonts w:ascii="Times New Roman" w:hAnsi="Times New Roman" w:cs="Times New Roman"/>
          <w:sz w:val="28"/>
          <w:szCs w:val="24"/>
        </w:rPr>
      </w:pPr>
      <w:r w:rsidRPr="00655EDD">
        <w:rPr>
          <w:rFonts w:ascii="Times New Roman" w:hAnsi="Times New Roman" w:cs="Times New Roman"/>
          <w:sz w:val="28"/>
          <w:szCs w:val="24"/>
        </w:rPr>
        <w:t>Sergio Cicatelli</w:t>
      </w:r>
      <w:r w:rsidR="00836FE9" w:rsidRPr="00836FE9">
        <w:rPr>
          <w:rStyle w:val="Rimandonotaapidipagina"/>
          <w:rFonts w:ascii="Times New Roman" w:hAnsi="Times New Roman" w:cs="Times New Roman"/>
          <w:sz w:val="28"/>
          <w:szCs w:val="24"/>
        </w:rPr>
        <w:footnoteReference w:customMarkFollows="1" w:id="1"/>
        <w:sym w:font="Symbol" w:char="F02A"/>
      </w:r>
    </w:p>
    <w:p w:rsidR="00655EDD" w:rsidRPr="00655EDD" w:rsidRDefault="00655EDD" w:rsidP="00EB6C14">
      <w:pPr>
        <w:jc w:val="center"/>
        <w:rPr>
          <w:rFonts w:ascii="Times New Roman" w:hAnsi="Times New Roman" w:cs="Times New Roman"/>
          <w:sz w:val="28"/>
          <w:szCs w:val="24"/>
        </w:rPr>
      </w:pPr>
    </w:p>
    <w:p w:rsidR="00006C66" w:rsidRPr="00655EDD" w:rsidRDefault="00EB6C14" w:rsidP="00EB6C14">
      <w:pPr>
        <w:jc w:val="center"/>
        <w:rPr>
          <w:rFonts w:ascii="Times New Roman" w:hAnsi="Times New Roman" w:cs="Times New Roman"/>
          <w:sz w:val="28"/>
          <w:szCs w:val="24"/>
        </w:rPr>
      </w:pPr>
      <w:r w:rsidRPr="00655EDD">
        <w:rPr>
          <w:rFonts w:ascii="Times New Roman" w:hAnsi="Times New Roman" w:cs="Times New Roman"/>
          <w:sz w:val="28"/>
          <w:szCs w:val="24"/>
        </w:rPr>
        <w:t>Parità scolastica: non solo una questione di soldi</w:t>
      </w:r>
    </w:p>
    <w:p w:rsidR="00047DC7" w:rsidRDefault="00047DC7" w:rsidP="00587D0E">
      <w:pPr>
        <w:jc w:val="both"/>
        <w:rPr>
          <w:rFonts w:ascii="Times New Roman" w:hAnsi="Times New Roman" w:cs="Times New Roman"/>
          <w:sz w:val="24"/>
          <w:szCs w:val="24"/>
        </w:rPr>
      </w:pPr>
    </w:p>
    <w:p w:rsidR="00E14724" w:rsidRDefault="00E14724" w:rsidP="00587D0E">
      <w:pPr>
        <w:jc w:val="both"/>
        <w:rPr>
          <w:rFonts w:ascii="Times New Roman" w:hAnsi="Times New Roman" w:cs="Times New Roman"/>
          <w:sz w:val="24"/>
          <w:szCs w:val="24"/>
        </w:rPr>
      </w:pPr>
    </w:p>
    <w:p w:rsidR="00E67A64" w:rsidRDefault="00E67A64" w:rsidP="00587D0E">
      <w:pPr>
        <w:jc w:val="both"/>
        <w:rPr>
          <w:rFonts w:ascii="Times New Roman" w:hAnsi="Times New Roman" w:cs="Times New Roman"/>
          <w:sz w:val="24"/>
          <w:szCs w:val="24"/>
        </w:rPr>
      </w:pPr>
    </w:p>
    <w:p w:rsidR="003A2433" w:rsidRPr="003A2433" w:rsidRDefault="003A2433" w:rsidP="00587D0E">
      <w:pPr>
        <w:jc w:val="both"/>
        <w:rPr>
          <w:rFonts w:ascii="Times New Roman" w:hAnsi="Times New Roman" w:cs="Times New Roman"/>
          <w:i/>
          <w:sz w:val="24"/>
          <w:szCs w:val="24"/>
        </w:rPr>
      </w:pPr>
      <w:r w:rsidRPr="003A2433">
        <w:rPr>
          <w:rFonts w:ascii="Times New Roman" w:hAnsi="Times New Roman" w:cs="Times New Roman"/>
          <w:i/>
          <w:sz w:val="24"/>
          <w:szCs w:val="24"/>
        </w:rPr>
        <w:t>1. Una questione di valore</w:t>
      </w:r>
    </w:p>
    <w:p w:rsidR="003A2433" w:rsidRDefault="003A2433" w:rsidP="00587D0E">
      <w:pPr>
        <w:jc w:val="both"/>
        <w:rPr>
          <w:rFonts w:ascii="Times New Roman" w:hAnsi="Times New Roman" w:cs="Times New Roman"/>
          <w:sz w:val="24"/>
          <w:szCs w:val="24"/>
        </w:rPr>
      </w:pPr>
    </w:p>
    <w:p w:rsidR="002E78E9" w:rsidRDefault="003A2433" w:rsidP="00587D0E">
      <w:pPr>
        <w:ind w:firstLine="708"/>
        <w:jc w:val="both"/>
        <w:rPr>
          <w:rFonts w:ascii="Times New Roman" w:hAnsi="Times New Roman" w:cs="Times New Roman"/>
          <w:sz w:val="24"/>
          <w:szCs w:val="24"/>
        </w:rPr>
      </w:pPr>
      <w:r>
        <w:rPr>
          <w:rFonts w:ascii="Times New Roman" w:hAnsi="Times New Roman" w:cs="Times New Roman"/>
          <w:sz w:val="24"/>
          <w:szCs w:val="24"/>
        </w:rPr>
        <w:t>Il titolo di questo Rapporto parla del “</w:t>
      </w:r>
      <w:r w:rsidRPr="003A2433">
        <w:rPr>
          <w:rFonts w:ascii="Times New Roman" w:hAnsi="Times New Roman" w:cs="Times New Roman"/>
          <w:sz w:val="24"/>
          <w:szCs w:val="24"/>
        </w:rPr>
        <w:t>valore</w:t>
      </w:r>
      <w:r>
        <w:rPr>
          <w:rFonts w:ascii="Times New Roman" w:hAnsi="Times New Roman" w:cs="Times New Roman"/>
          <w:sz w:val="24"/>
          <w:szCs w:val="24"/>
        </w:rPr>
        <w:t>” della parità scolastica, giocando volutamente sull’ambiguità del</w:t>
      </w:r>
      <w:r w:rsidR="00E37BF0">
        <w:rPr>
          <w:rFonts w:ascii="Times New Roman" w:hAnsi="Times New Roman" w:cs="Times New Roman"/>
          <w:sz w:val="24"/>
          <w:szCs w:val="24"/>
        </w:rPr>
        <w:t xml:space="preserve"> termine</w:t>
      </w:r>
      <w:r>
        <w:rPr>
          <w:rFonts w:ascii="Times New Roman" w:hAnsi="Times New Roman" w:cs="Times New Roman"/>
          <w:sz w:val="24"/>
          <w:szCs w:val="24"/>
        </w:rPr>
        <w:t>. Si p</w:t>
      </w:r>
      <w:r w:rsidR="00D1058D">
        <w:rPr>
          <w:rFonts w:ascii="Times New Roman" w:hAnsi="Times New Roman" w:cs="Times New Roman"/>
          <w:sz w:val="24"/>
          <w:szCs w:val="24"/>
        </w:rPr>
        <w:t>arla</w:t>
      </w:r>
      <w:r>
        <w:rPr>
          <w:rFonts w:ascii="Times New Roman" w:hAnsi="Times New Roman" w:cs="Times New Roman"/>
          <w:sz w:val="24"/>
          <w:szCs w:val="24"/>
        </w:rPr>
        <w:t xml:space="preserve"> infatti di valore quando si riconosce in qualcosa un significato importante, tale da motivare azioni e scelte anche di</w:t>
      </w:r>
      <w:r w:rsidR="00D1058D">
        <w:rPr>
          <w:rFonts w:ascii="Times New Roman" w:hAnsi="Times New Roman" w:cs="Times New Roman"/>
          <w:sz w:val="24"/>
          <w:szCs w:val="24"/>
        </w:rPr>
        <w:t>sinteressate</w:t>
      </w:r>
      <w:r>
        <w:rPr>
          <w:rFonts w:ascii="Times New Roman" w:hAnsi="Times New Roman" w:cs="Times New Roman"/>
          <w:sz w:val="24"/>
          <w:szCs w:val="24"/>
        </w:rPr>
        <w:t xml:space="preserve">, oppure se ne può parlare in termini materiali, monetizzando in vario modo </w:t>
      </w:r>
      <w:r w:rsidR="00E37BF0">
        <w:rPr>
          <w:rFonts w:ascii="Times New Roman" w:hAnsi="Times New Roman" w:cs="Times New Roman"/>
          <w:sz w:val="24"/>
          <w:szCs w:val="24"/>
        </w:rPr>
        <w:t>il valore</w:t>
      </w:r>
      <w:r>
        <w:rPr>
          <w:rFonts w:ascii="Times New Roman" w:hAnsi="Times New Roman" w:cs="Times New Roman"/>
          <w:sz w:val="24"/>
          <w:szCs w:val="24"/>
        </w:rPr>
        <w:t xml:space="preserve"> in questione.</w:t>
      </w:r>
      <w:r w:rsidR="002E78E9">
        <w:rPr>
          <w:rFonts w:ascii="Times New Roman" w:hAnsi="Times New Roman" w:cs="Times New Roman"/>
          <w:sz w:val="24"/>
          <w:szCs w:val="24"/>
        </w:rPr>
        <w:t xml:space="preserve"> Dovrebbe essere evidente c</w:t>
      </w:r>
      <w:r w:rsidR="00E37BF0">
        <w:rPr>
          <w:rFonts w:ascii="Times New Roman" w:hAnsi="Times New Roman" w:cs="Times New Roman"/>
          <w:sz w:val="24"/>
          <w:szCs w:val="24"/>
        </w:rPr>
        <w:t>om</w:t>
      </w:r>
      <w:r w:rsidR="002E78E9">
        <w:rPr>
          <w:rFonts w:ascii="Times New Roman" w:hAnsi="Times New Roman" w:cs="Times New Roman"/>
          <w:sz w:val="24"/>
          <w:szCs w:val="24"/>
        </w:rPr>
        <w:t>e i</w:t>
      </w:r>
      <w:r>
        <w:rPr>
          <w:rFonts w:ascii="Times New Roman" w:hAnsi="Times New Roman" w:cs="Times New Roman"/>
          <w:sz w:val="24"/>
          <w:szCs w:val="24"/>
        </w:rPr>
        <w:t xml:space="preserve">l </w:t>
      </w:r>
      <w:r w:rsidR="002E78E9">
        <w:rPr>
          <w:rFonts w:ascii="Times New Roman" w:hAnsi="Times New Roman" w:cs="Times New Roman"/>
          <w:sz w:val="24"/>
          <w:szCs w:val="24"/>
        </w:rPr>
        <w:t>primo</w:t>
      </w:r>
      <w:r>
        <w:rPr>
          <w:rFonts w:ascii="Times New Roman" w:hAnsi="Times New Roman" w:cs="Times New Roman"/>
          <w:sz w:val="24"/>
          <w:szCs w:val="24"/>
        </w:rPr>
        <w:t xml:space="preserve"> significato </w:t>
      </w:r>
      <w:r w:rsidR="00E37BF0">
        <w:rPr>
          <w:rFonts w:ascii="Times New Roman" w:hAnsi="Times New Roman" w:cs="Times New Roman"/>
          <w:sz w:val="24"/>
          <w:szCs w:val="24"/>
        </w:rPr>
        <w:t>sia</w:t>
      </w:r>
      <w:r w:rsidR="002E78E9">
        <w:rPr>
          <w:rFonts w:ascii="Times New Roman" w:hAnsi="Times New Roman" w:cs="Times New Roman"/>
          <w:sz w:val="24"/>
          <w:szCs w:val="24"/>
        </w:rPr>
        <w:t xml:space="preserve"> all</w:t>
      </w:r>
      <w:r w:rsidR="00D1058D">
        <w:rPr>
          <w:rFonts w:ascii="Times New Roman" w:hAnsi="Times New Roman" w:cs="Times New Roman"/>
          <w:sz w:val="24"/>
          <w:szCs w:val="24"/>
        </w:rPr>
        <w:t>a base del</w:t>
      </w:r>
      <w:r w:rsidR="002E78E9">
        <w:rPr>
          <w:rFonts w:ascii="Times New Roman" w:hAnsi="Times New Roman" w:cs="Times New Roman"/>
          <w:sz w:val="24"/>
          <w:szCs w:val="24"/>
        </w:rPr>
        <w:t xml:space="preserve"> secondo, che tende ad affermarsi</w:t>
      </w:r>
      <w:r w:rsidR="00FF3D7A">
        <w:rPr>
          <w:rFonts w:ascii="Times New Roman" w:hAnsi="Times New Roman" w:cs="Times New Roman"/>
          <w:sz w:val="24"/>
          <w:szCs w:val="24"/>
        </w:rPr>
        <w:t xml:space="preserve"> </w:t>
      </w:r>
      <w:r w:rsidR="002E78E9">
        <w:rPr>
          <w:rFonts w:ascii="Times New Roman" w:hAnsi="Times New Roman" w:cs="Times New Roman"/>
          <w:sz w:val="24"/>
          <w:szCs w:val="24"/>
        </w:rPr>
        <w:t>per ragioni di praticità</w:t>
      </w:r>
      <w:r w:rsidR="00FF3D7A">
        <w:rPr>
          <w:rFonts w:ascii="Times New Roman" w:hAnsi="Times New Roman" w:cs="Times New Roman"/>
          <w:sz w:val="24"/>
          <w:szCs w:val="24"/>
        </w:rPr>
        <w:t xml:space="preserve"> (ma a</w:t>
      </w:r>
      <w:r w:rsidR="00FF3D7A">
        <w:rPr>
          <w:rFonts w:ascii="Times New Roman" w:hAnsi="Times New Roman" w:cs="Times New Roman"/>
          <w:sz w:val="24"/>
          <w:szCs w:val="24"/>
        </w:rPr>
        <w:t>n</w:t>
      </w:r>
      <w:r w:rsidR="00FF3D7A">
        <w:rPr>
          <w:rFonts w:ascii="Times New Roman" w:hAnsi="Times New Roman" w:cs="Times New Roman"/>
          <w:sz w:val="24"/>
          <w:szCs w:val="24"/>
        </w:rPr>
        <w:t xml:space="preserve">che per la mentalità di chi </w:t>
      </w:r>
      <w:r w:rsidR="00D1058D">
        <w:rPr>
          <w:rFonts w:ascii="Times New Roman" w:hAnsi="Times New Roman" w:cs="Times New Roman"/>
          <w:sz w:val="24"/>
          <w:szCs w:val="24"/>
        </w:rPr>
        <w:t xml:space="preserve">lo </w:t>
      </w:r>
      <w:r w:rsidR="00FF3D7A">
        <w:rPr>
          <w:rFonts w:ascii="Times New Roman" w:hAnsi="Times New Roman" w:cs="Times New Roman"/>
          <w:sz w:val="24"/>
          <w:szCs w:val="24"/>
        </w:rPr>
        <w:t xml:space="preserve">preferisce </w:t>
      </w:r>
      <w:r w:rsidR="00D1058D">
        <w:rPr>
          <w:rFonts w:ascii="Times New Roman" w:hAnsi="Times New Roman" w:cs="Times New Roman"/>
          <w:sz w:val="24"/>
          <w:szCs w:val="24"/>
        </w:rPr>
        <w:t>al primo</w:t>
      </w:r>
      <w:r w:rsidR="00FF3D7A">
        <w:rPr>
          <w:rFonts w:ascii="Times New Roman" w:hAnsi="Times New Roman" w:cs="Times New Roman"/>
          <w:sz w:val="24"/>
          <w:szCs w:val="24"/>
        </w:rPr>
        <w:t>)</w:t>
      </w:r>
      <w:r w:rsidR="002E78E9">
        <w:rPr>
          <w:rFonts w:ascii="Times New Roman" w:hAnsi="Times New Roman" w:cs="Times New Roman"/>
          <w:sz w:val="24"/>
          <w:szCs w:val="24"/>
        </w:rPr>
        <w:t>. E dovrebbe essere altrettanto evidente che una quantificazione del genere costituisce una chiave di lettura riduttiva dell</w:t>
      </w:r>
      <w:r w:rsidR="00D1058D">
        <w:rPr>
          <w:rFonts w:ascii="Times New Roman" w:hAnsi="Times New Roman" w:cs="Times New Roman"/>
          <w:sz w:val="24"/>
          <w:szCs w:val="24"/>
        </w:rPr>
        <w:t>’oggetto</w:t>
      </w:r>
      <w:r w:rsidR="002E78E9">
        <w:rPr>
          <w:rFonts w:ascii="Times New Roman" w:hAnsi="Times New Roman" w:cs="Times New Roman"/>
          <w:sz w:val="24"/>
          <w:szCs w:val="24"/>
        </w:rPr>
        <w:t xml:space="preserve"> di cui si discute il valore. </w:t>
      </w:r>
      <w:r w:rsidR="00D1058D">
        <w:rPr>
          <w:rFonts w:ascii="Times New Roman" w:hAnsi="Times New Roman" w:cs="Times New Roman"/>
          <w:sz w:val="24"/>
          <w:szCs w:val="24"/>
        </w:rPr>
        <w:t xml:space="preserve">Il discorso </w:t>
      </w:r>
      <w:r w:rsidR="00FF3D7A">
        <w:rPr>
          <w:rFonts w:ascii="Times New Roman" w:hAnsi="Times New Roman" w:cs="Times New Roman"/>
          <w:sz w:val="24"/>
          <w:szCs w:val="24"/>
        </w:rPr>
        <w:t>può</w:t>
      </w:r>
      <w:r w:rsidR="002E78E9">
        <w:rPr>
          <w:rFonts w:ascii="Times New Roman" w:hAnsi="Times New Roman" w:cs="Times New Roman"/>
          <w:sz w:val="24"/>
          <w:szCs w:val="24"/>
        </w:rPr>
        <w:t xml:space="preserve"> purtroppo applicar</w:t>
      </w:r>
      <w:r w:rsidR="00FF3D7A">
        <w:rPr>
          <w:rFonts w:ascii="Times New Roman" w:hAnsi="Times New Roman" w:cs="Times New Roman"/>
          <w:sz w:val="24"/>
          <w:szCs w:val="24"/>
        </w:rPr>
        <w:t>si</w:t>
      </w:r>
      <w:r w:rsidR="002E78E9">
        <w:rPr>
          <w:rFonts w:ascii="Times New Roman" w:hAnsi="Times New Roman" w:cs="Times New Roman"/>
          <w:sz w:val="24"/>
          <w:szCs w:val="24"/>
        </w:rPr>
        <w:t xml:space="preserve"> </w:t>
      </w:r>
      <w:r w:rsidR="00E37BF0">
        <w:rPr>
          <w:rFonts w:ascii="Times New Roman" w:hAnsi="Times New Roman" w:cs="Times New Roman"/>
          <w:sz w:val="24"/>
          <w:szCs w:val="24"/>
        </w:rPr>
        <w:t xml:space="preserve">anche </w:t>
      </w:r>
      <w:r w:rsidR="002E78E9">
        <w:rPr>
          <w:rFonts w:ascii="Times New Roman" w:hAnsi="Times New Roman" w:cs="Times New Roman"/>
          <w:sz w:val="24"/>
          <w:szCs w:val="24"/>
        </w:rPr>
        <w:t>alla parità scolastica in Italia.</w:t>
      </w:r>
    </w:p>
    <w:p w:rsidR="007E7DCC" w:rsidRDefault="007E7DCC" w:rsidP="00587D0E">
      <w:pPr>
        <w:ind w:firstLine="708"/>
        <w:jc w:val="both"/>
        <w:rPr>
          <w:rFonts w:ascii="Times New Roman" w:hAnsi="Times New Roman" w:cs="Times New Roman"/>
          <w:sz w:val="24"/>
          <w:szCs w:val="24"/>
        </w:rPr>
      </w:pPr>
      <w:r w:rsidRPr="00C95C77">
        <w:rPr>
          <w:rFonts w:ascii="Times New Roman" w:hAnsi="Times New Roman" w:cs="Times New Roman"/>
          <w:sz w:val="24"/>
          <w:szCs w:val="24"/>
        </w:rPr>
        <w:t xml:space="preserve">Nel dibattito pubblico italiano sembra </w:t>
      </w:r>
      <w:r w:rsidR="002E78E9">
        <w:rPr>
          <w:rFonts w:ascii="Times New Roman" w:hAnsi="Times New Roman" w:cs="Times New Roman"/>
          <w:sz w:val="24"/>
          <w:szCs w:val="24"/>
        </w:rPr>
        <w:t xml:space="preserve">infatti </w:t>
      </w:r>
      <w:r w:rsidR="002C6468">
        <w:rPr>
          <w:rFonts w:ascii="Times New Roman" w:hAnsi="Times New Roman" w:cs="Times New Roman"/>
          <w:sz w:val="24"/>
          <w:szCs w:val="24"/>
        </w:rPr>
        <w:t xml:space="preserve">spesso </w:t>
      </w:r>
      <w:r w:rsidRPr="00C95C77">
        <w:rPr>
          <w:rFonts w:ascii="Times New Roman" w:hAnsi="Times New Roman" w:cs="Times New Roman"/>
          <w:sz w:val="24"/>
          <w:szCs w:val="24"/>
        </w:rPr>
        <w:t>che il problema della scuola paritaria si debba ridurre a una questione meramente economica: quanto costa tenere in vita una scuola non st</w:t>
      </w:r>
      <w:r w:rsidRPr="00C95C77">
        <w:rPr>
          <w:rFonts w:ascii="Times New Roman" w:hAnsi="Times New Roman" w:cs="Times New Roman"/>
          <w:sz w:val="24"/>
          <w:szCs w:val="24"/>
        </w:rPr>
        <w:t>a</w:t>
      </w:r>
      <w:r w:rsidRPr="00C95C77">
        <w:rPr>
          <w:rFonts w:ascii="Times New Roman" w:hAnsi="Times New Roman" w:cs="Times New Roman"/>
          <w:sz w:val="24"/>
          <w:szCs w:val="24"/>
        </w:rPr>
        <w:t>tale, quanto (e se) lo Stato d</w:t>
      </w:r>
      <w:r w:rsidR="00FF3D7A">
        <w:rPr>
          <w:rFonts w:ascii="Times New Roman" w:hAnsi="Times New Roman" w:cs="Times New Roman"/>
          <w:sz w:val="24"/>
          <w:szCs w:val="24"/>
        </w:rPr>
        <w:t>eve</w:t>
      </w:r>
      <w:r w:rsidRPr="00C95C77">
        <w:rPr>
          <w:rFonts w:ascii="Times New Roman" w:hAnsi="Times New Roman" w:cs="Times New Roman"/>
          <w:sz w:val="24"/>
          <w:szCs w:val="24"/>
        </w:rPr>
        <w:t xml:space="preserve"> versare alle scuole paritarie per il loro servizio, quanto costerebbe allo Stato la </w:t>
      </w:r>
      <w:r w:rsidR="002C6468">
        <w:rPr>
          <w:rFonts w:ascii="Times New Roman" w:hAnsi="Times New Roman" w:cs="Times New Roman"/>
          <w:sz w:val="24"/>
          <w:szCs w:val="24"/>
        </w:rPr>
        <w:t>scomparsa</w:t>
      </w:r>
      <w:r w:rsidRPr="00C95C77">
        <w:rPr>
          <w:rFonts w:ascii="Times New Roman" w:hAnsi="Times New Roman" w:cs="Times New Roman"/>
          <w:sz w:val="24"/>
          <w:szCs w:val="24"/>
        </w:rPr>
        <w:t xml:space="preserve"> delle scuole paritarie. Rimangono troppo spesso in ombra le questioni di principio legate all’esistenza di una scuola non statale: se davvero i genitori siano i titolari del diri</w:t>
      </w:r>
      <w:r w:rsidRPr="00C95C77">
        <w:rPr>
          <w:rFonts w:ascii="Times New Roman" w:hAnsi="Times New Roman" w:cs="Times New Roman"/>
          <w:sz w:val="24"/>
          <w:szCs w:val="24"/>
        </w:rPr>
        <w:t>t</w:t>
      </w:r>
      <w:r w:rsidRPr="00C95C77">
        <w:rPr>
          <w:rFonts w:ascii="Times New Roman" w:hAnsi="Times New Roman" w:cs="Times New Roman"/>
          <w:sz w:val="24"/>
          <w:szCs w:val="24"/>
        </w:rPr>
        <w:t xml:space="preserve">to/dovere educativo nei confronti dei figli, se si debba garantire ai genitori (o agli stessi studenti) la libertà di scelta educativa, se sia giusto e utile un monopolio statale dell’educazione scolastica, se si possa (o si voglia) parlare </w:t>
      </w:r>
      <w:r w:rsidR="00FF3D7A">
        <w:rPr>
          <w:rFonts w:ascii="Times New Roman" w:hAnsi="Times New Roman" w:cs="Times New Roman"/>
          <w:sz w:val="24"/>
          <w:szCs w:val="24"/>
        </w:rPr>
        <w:t>sul serio</w:t>
      </w:r>
      <w:r w:rsidR="002E78E9">
        <w:rPr>
          <w:rFonts w:ascii="Times New Roman" w:hAnsi="Times New Roman" w:cs="Times New Roman"/>
          <w:sz w:val="24"/>
          <w:szCs w:val="24"/>
        </w:rPr>
        <w:t xml:space="preserve"> </w:t>
      </w:r>
      <w:r w:rsidR="00FF3D7A">
        <w:rPr>
          <w:rFonts w:ascii="Times New Roman" w:hAnsi="Times New Roman" w:cs="Times New Roman"/>
          <w:sz w:val="24"/>
          <w:szCs w:val="24"/>
        </w:rPr>
        <w:t>di sussidiarietà ne</w:t>
      </w:r>
      <w:r w:rsidRPr="00C95C77">
        <w:rPr>
          <w:rFonts w:ascii="Times New Roman" w:hAnsi="Times New Roman" w:cs="Times New Roman"/>
          <w:sz w:val="24"/>
          <w:szCs w:val="24"/>
        </w:rPr>
        <w:t xml:space="preserve">lla scuola italiana. </w:t>
      </w:r>
    </w:p>
    <w:p w:rsidR="002C6468" w:rsidRDefault="008879E8" w:rsidP="00587D0E">
      <w:pPr>
        <w:ind w:firstLine="708"/>
        <w:jc w:val="both"/>
        <w:rPr>
          <w:rFonts w:ascii="Times New Roman" w:hAnsi="Times New Roman" w:cs="Times New Roman"/>
          <w:sz w:val="24"/>
          <w:szCs w:val="24"/>
        </w:rPr>
      </w:pPr>
      <w:r>
        <w:rPr>
          <w:rFonts w:ascii="Times New Roman" w:hAnsi="Times New Roman" w:cs="Times New Roman"/>
          <w:sz w:val="24"/>
          <w:szCs w:val="24"/>
        </w:rPr>
        <w:t>È dunque</w:t>
      </w:r>
      <w:r w:rsidR="00E369A5">
        <w:rPr>
          <w:rFonts w:ascii="Times New Roman" w:hAnsi="Times New Roman" w:cs="Times New Roman"/>
          <w:sz w:val="24"/>
          <w:szCs w:val="24"/>
        </w:rPr>
        <w:t xml:space="preserve"> improprio</w:t>
      </w:r>
      <w:r w:rsidR="002C6468">
        <w:rPr>
          <w:rFonts w:ascii="Times New Roman" w:hAnsi="Times New Roman" w:cs="Times New Roman"/>
          <w:sz w:val="24"/>
          <w:szCs w:val="24"/>
        </w:rPr>
        <w:t xml:space="preserve"> impostare il problema della scuola paritaria in termini economici, con le scuole perennemente impegnate a sollecitare dallo Stato come elemosina ciò che dovrebbe spettare loro per giustizia e l</w:t>
      </w:r>
      <w:r w:rsidR="004A15C6">
        <w:rPr>
          <w:rFonts w:ascii="Times New Roman" w:hAnsi="Times New Roman" w:cs="Times New Roman"/>
          <w:sz w:val="24"/>
          <w:szCs w:val="24"/>
        </w:rPr>
        <w:t>’apparato statale</w:t>
      </w:r>
      <w:r w:rsidR="002C6468">
        <w:rPr>
          <w:rFonts w:ascii="Times New Roman" w:hAnsi="Times New Roman" w:cs="Times New Roman"/>
          <w:sz w:val="24"/>
          <w:szCs w:val="24"/>
        </w:rPr>
        <w:t xml:space="preserve"> a sua volta ben deciso a difendersi </w:t>
      </w:r>
      <w:r w:rsidR="00FF3D7A">
        <w:rPr>
          <w:rFonts w:ascii="Times New Roman" w:hAnsi="Times New Roman" w:cs="Times New Roman"/>
          <w:sz w:val="24"/>
          <w:szCs w:val="24"/>
        </w:rPr>
        <w:t>dietro</w:t>
      </w:r>
      <w:r w:rsidR="002C6468">
        <w:rPr>
          <w:rFonts w:ascii="Times New Roman" w:hAnsi="Times New Roman" w:cs="Times New Roman"/>
          <w:sz w:val="24"/>
          <w:szCs w:val="24"/>
        </w:rPr>
        <w:t xml:space="preserve"> la ormai usurata ed equivoca </w:t>
      </w:r>
      <w:r w:rsidR="00E37BF0">
        <w:rPr>
          <w:rFonts w:ascii="Times New Roman" w:hAnsi="Times New Roman" w:cs="Times New Roman"/>
          <w:sz w:val="24"/>
          <w:szCs w:val="24"/>
        </w:rPr>
        <w:t>clausola</w:t>
      </w:r>
      <w:r w:rsidR="002C6468">
        <w:rPr>
          <w:rFonts w:ascii="Times New Roman" w:hAnsi="Times New Roman" w:cs="Times New Roman"/>
          <w:sz w:val="24"/>
          <w:szCs w:val="24"/>
        </w:rPr>
        <w:t xml:space="preserve"> del “senza oneri</w:t>
      </w:r>
      <w:r w:rsidR="004A15C6">
        <w:rPr>
          <w:rFonts w:ascii="Times New Roman" w:hAnsi="Times New Roman" w:cs="Times New Roman"/>
          <w:sz w:val="24"/>
          <w:szCs w:val="24"/>
        </w:rPr>
        <w:t xml:space="preserve"> per lo Stato</w:t>
      </w:r>
      <w:r w:rsidR="002C6468">
        <w:rPr>
          <w:rFonts w:ascii="Times New Roman" w:hAnsi="Times New Roman" w:cs="Times New Roman"/>
          <w:sz w:val="24"/>
          <w:szCs w:val="24"/>
        </w:rPr>
        <w:t>”. Il valore della scuola paritaria non si misura solo in termini economici: il banale ma doveroso equilibrio tra costi e benefici deve tenere conto di costi materiali e immateriali (</w:t>
      </w:r>
      <w:r w:rsidR="00E67A64">
        <w:rPr>
          <w:rFonts w:ascii="Times New Roman" w:hAnsi="Times New Roman" w:cs="Times New Roman"/>
          <w:sz w:val="24"/>
          <w:szCs w:val="24"/>
        </w:rPr>
        <w:t xml:space="preserve">i </w:t>
      </w:r>
      <w:r w:rsidR="002C6468">
        <w:rPr>
          <w:rFonts w:ascii="Times New Roman" w:hAnsi="Times New Roman" w:cs="Times New Roman"/>
          <w:sz w:val="24"/>
          <w:szCs w:val="24"/>
        </w:rPr>
        <w:t xml:space="preserve">costi di gestione e </w:t>
      </w:r>
      <w:r w:rsidR="00E67A64">
        <w:rPr>
          <w:rFonts w:ascii="Times New Roman" w:hAnsi="Times New Roman" w:cs="Times New Roman"/>
          <w:sz w:val="24"/>
          <w:szCs w:val="24"/>
        </w:rPr>
        <w:t xml:space="preserve">il </w:t>
      </w:r>
      <w:r w:rsidR="002C6468">
        <w:rPr>
          <w:rFonts w:ascii="Times New Roman" w:hAnsi="Times New Roman" w:cs="Times New Roman"/>
          <w:sz w:val="24"/>
          <w:szCs w:val="24"/>
        </w:rPr>
        <w:t xml:space="preserve">valore di originali proposte educative), così come i benefici devono essere calcolati in termini economici e ideali (risparmio per lo Stato e rispetto del principio di libertà di scelta educativa). </w:t>
      </w:r>
    </w:p>
    <w:p w:rsidR="002C6468" w:rsidRPr="00C95C77" w:rsidRDefault="002C6468" w:rsidP="00587D0E">
      <w:pPr>
        <w:ind w:firstLine="708"/>
        <w:jc w:val="both"/>
        <w:rPr>
          <w:rFonts w:ascii="Times New Roman" w:hAnsi="Times New Roman" w:cs="Times New Roman"/>
          <w:sz w:val="24"/>
          <w:szCs w:val="24"/>
        </w:rPr>
      </w:pPr>
      <w:r w:rsidRPr="00C95C77">
        <w:rPr>
          <w:rFonts w:ascii="Times New Roman" w:hAnsi="Times New Roman" w:cs="Times New Roman"/>
          <w:sz w:val="24"/>
          <w:szCs w:val="24"/>
        </w:rPr>
        <w:t>Le più recenti teorie dell’organizzazione pongono al centro de</w:t>
      </w:r>
      <w:r>
        <w:rPr>
          <w:rFonts w:ascii="Times New Roman" w:hAnsi="Times New Roman" w:cs="Times New Roman"/>
          <w:sz w:val="24"/>
          <w:szCs w:val="24"/>
        </w:rPr>
        <w:t>lla loro analisi il tema della “</w:t>
      </w:r>
      <w:r w:rsidRPr="00C95C77">
        <w:rPr>
          <w:rFonts w:ascii="Times New Roman" w:hAnsi="Times New Roman" w:cs="Times New Roman"/>
          <w:sz w:val="24"/>
          <w:szCs w:val="24"/>
        </w:rPr>
        <w:t>catena del valore</w:t>
      </w:r>
      <w:r>
        <w:rPr>
          <w:rFonts w:ascii="Times New Roman" w:hAnsi="Times New Roman" w:cs="Times New Roman"/>
          <w:sz w:val="24"/>
          <w:szCs w:val="24"/>
        </w:rPr>
        <w:t>”</w:t>
      </w:r>
      <w:r w:rsidRPr="00C95C77">
        <w:rPr>
          <w:rFonts w:ascii="Times New Roman" w:hAnsi="Times New Roman" w:cs="Times New Roman"/>
          <w:sz w:val="24"/>
          <w:szCs w:val="24"/>
        </w:rPr>
        <w:t>, intesa come la capacità del sistema di fornire ai suoi interlocutori (</w:t>
      </w:r>
      <w:r w:rsidRPr="00C95C77">
        <w:rPr>
          <w:rFonts w:ascii="Times New Roman" w:hAnsi="Times New Roman" w:cs="Times New Roman"/>
          <w:i/>
          <w:sz w:val="24"/>
          <w:szCs w:val="24"/>
        </w:rPr>
        <w:t>stakeholder</w:t>
      </w:r>
      <w:r w:rsidRPr="00C95C77">
        <w:rPr>
          <w:rFonts w:ascii="Times New Roman" w:hAnsi="Times New Roman" w:cs="Times New Roman"/>
          <w:sz w:val="24"/>
          <w:szCs w:val="24"/>
        </w:rPr>
        <w:t>) dei benefici reali in ri</w:t>
      </w:r>
      <w:r w:rsidR="008879E8">
        <w:rPr>
          <w:rFonts w:ascii="Times New Roman" w:hAnsi="Times New Roman" w:cs="Times New Roman"/>
          <w:sz w:val="24"/>
          <w:szCs w:val="24"/>
        </w:rPr>
        <w:t>sposta</w:t>
      </w:r>
      <w:r w:rsidRPr="00C95C77">
        <w:rPr>
          <w:rFonts w:ascii="Times New Roman" w:hAnsi="Times New Roman" w:cs="Times New Roman"/>
          <w:sz w:val="24"/>
          <w:szCs w:val="24"/>
        </w:rPr>
        <w:t xml:space="preserve"> alle loro necessità e ai loro progetti. Cos</w:t>
      </w:r>
      <w:r w:rsidR="00813E90">
        <w:rPr>
          <w:rFonts w:ascii="Times New Roman" w:hAnsi="Times New Roman" w:cs="Times New Roman"/>
          <w:sz w:val="24"/>
          <w:szCs w:val="24"/>
        </w:rPr>
        <w:t>ì</w:t>
      </w:r>
      <w:r w:rsidRPr="00C95C77">
        <w:rPr>
          <w:rFonts w:ascii="Times New Roman" w:hAnsi="Times New Roman" w:cs="Times New Roman"/>
          <w:sz w:val="24"/>
          <w:szCs w:val="24"/>
        </w:rPr>
        <w:t xml:space="preserve"> intesa, la dinamica delle o</w:t>
      </w:r>
      <w:r w:rsidRPr="00C95C77">
        <w:rPr>
          <w:rFonts w:ascii="Times New Roman" w:hAnsi="Times New Roman" w:cs="Times New Roman"/>
          <w:sz w:val="24"/>
          <w:szCs w:val="24"/>
        </w:rPr>
        <w:t>r</w:t>
      </w:r>
      <w:r w:rsidRPr="00C95C77">
        <w:rPr>
          <w:rFonts w:ascii="Times New Roman" w:hAnsi="Times New Roman" w:cs="Times New Roman"/>
          <w:sz w:val="24"/>
          <w:szCs w:val="24"/>
        </w:rPr>
        <w:t xml:space="preserve">ganizzazioni è rilevabile tramite un </w:t>
      </w:r>
      <w:r w:rsidRPr="00C95C77">
        <w:rPr>
          <w:rFonts w:ascii="Times New Roman" w:hAnsi="Times New Roman" w:cs="Times New Roman"/>
          <w:i/>
          <w:sz w:val="24"/>
          <w:szCs w:val="24"/>
        </w:rPr>
        <w:t>bilancio sociale</w:t>
      </w:r>
      <w:r w:rsidRPr="00C95C77">
        <w:rPr>
          <w:rFonts w:ascii="Times New Roman" w:hAnsi="Times New Roman" w:cs="Times New Roman"/>
          <w:sz w:val="24"/>
          <w:szCs w:val="24"/>
        </w:rPr>
        <w:t xml:space="preserve"> che comprende, ma va oltre, il </w:t>
      </w:r>
      <w:r w:rsidRPr="00C95C77">
        <w:rPr>
          <w:rFonts w:ascii="Times New Roman" w:hAnsi="Times New Roman" w:cs="Times New Roman"/>
          <w:i/>
          <w:sz w:val="24"/>
          <w:szCs w:val="24"/>
        </w:rPr>
        <w:t>bilancio fina</w:t>
      </w:r>
      <w:r w:rsidRPr="00C95C77">
        <w:rPr>
          <w:rFonts w:ascii="Times New Roman" w:hAnsi="Times New Roman" w:cs="Times New Roman"/>
          <w:i/>
          <w:sz w:val="24"/>
          <w:szCs w:val="24"/>
        </w:rPr>
        <w:t>n</w:t>
      </w:r>
      <w:r w:rsidRPr="00C95C77">
        <w:rPr>
          <w:rFonts w:ascii="Times New Roman" w:hAnsi="Times New Roman" w:cs="Times New Roman"/>
          <w:i/>
          <w:sz w:val="24"/>
          <w:szCs w:val="24"/>
        </w:rPr>
        <w:t>ziario</w:t>
      </w:r>
      <w:r w:rsidR="00E67A64">
        <w:rPr>
          <w:rFonts w:ascii="Times New Roman" w:hAnsi="Times New Roman" w:cs="Times New Roman"/>
          <w:sz w:val="24"/>
          <w:szCs w:val="24"/>
        </w:rPr>
        <w:t>. L</w:t>
      </w:r>
      <w:r w:rsidRPr="00C95C77">
        <w:rPr>
          <w:rFonts w:ascii="Times New Roman" w:hAnsi="Times New Roman" w:cs="Times New Roman"/>
          <w:sz w:val="24"/>
          <w:szCs w:val="24"/>
        </w:rPr>
        <w:t xml:space="preserve">’analisi dei valori precede quella dei costi; </w:t>
      </w:r>
      <w:r w:rsidR="00E62967">
        <w:rPr>
          <w:rFonts w:ascii="Times New Roman" w:hAnsi="Times New Roman" w:cs="Times New Roman"/>
          <w:sz w:val="24"/>
          <w:szCs w:val="24"/>
        </w:rPr>
        <w:t>e</w:t>
      </w:r>
      <w:r w:rsidRPr="00C95C77">
        <w:rPr>
          <w:rFonts w:ascii="Times New Roman" w:hAnsi="Times New Roman" w:cs="Times New Roman"/>
          <w:sz w:val="24"/>
          <w:szCs w:val="24"/>
        </w:rPr>
        <w:t xml:space="preserve"> nel considerare questi ultimi, occorre saper </w:t>
      </w:r>
      <w:r w:rsidRPr="00C95C77">
        <w:rPr>
          <w:rFonts w:ascii="Times New Roman" w:hAnsi="Times New Roman" w:cs="Times New Roman"/>
          <w:sz w:val="24"/>
          <w:szCs w:val="24"/>
        </w:rPr>
        <w:lastRenderedPageBreak/>
        <w:t>apprezzare i costi in negativo, ovvero l’impoverimento della catena del valore derivante dalla ma</w:t>
      </w:r>
      <w:r w:rsidRPr="00C95C77">
        <w:rPr>
          <w:rFonts w:ascii="Times New Roman" w:hAnsi="Times New Roman" w:cs="Times New Roman"/>
          <w:sz w:val="24"/>
          <w:szCs w:val="24"/>
        </w:rPr>
        <w:t>n</w:t>
      </w:r>
      <w:r w:rsidRPr="00C95C77">
        <w:rPr>
          <w:rFonts w:ascii="Times New Roman" w:hAnsi="Times New Roman" w:cs="Times New Roman"/>
          <w:sz w:val="24"/>
          <w:szCs w:val="24"/>
        </w:rPr>
        <w:t>canza di una</w:t>
      </w:r>
      <w:r w:rsidR="006D0C8A">
        <w:rPr>
          <w:rFonts w:ascii="Times New Roman" w:hAnsi="Times New Roman" w:cs="Times New Roman"/>
          <w:sz w:val="24"/>
          <w:szCs w:val="24"/>
        </w:rPr>
        <w:t xml:space="preserve"> certa</w:t>
      </w:r>
      <w:r w:rsidRPr="00C95C77">
        <w:rPr>
          <w:rFonts w:ascii="Times New Roman" w:hAnsi="Times New Roman" w:cs="Times New Roman"/>
          <w:sz w:val="24"/>
          <w:szCs w:val="24"/>
        </w:rPr>
        <w:t xml:space="preserve"> realtà (nel nostro caso la scuola paritaria e quella cattolica in particolare). </w:t>
      </w:r>
    </w:p>
    <w:p w:rsidR="002C6468" w:rsidRPr="00047DC7" w:rsidRDefault="00976BE2" w:rsidP="00587D0E">
      <w:pPr>
        <w:ind w:firstLine="708"/>
        <w:jc w:val="both"/>
        <w:rPr>
          <w:rFonts w:ascii="Times New Roman" w:hAnsi="Times New Roman" w:cs="Times New Roman"/>
          <w:sz w:val="24"/>
          <w:szCs w:val="24"/>
        </w:rPr>
      </w:pPr>
      <w:r>
        <w:rPr>
          <w:rFonts w:ascii="Times New Roman" w:hAnsi="Times New Roman" w:cs="Times New Roman"/>
          <w:sz w:val="24"/>
          <w:szCs w:val="24"/>
        </w:rPr>
        <w:t>Q</w:t>
      </w:r>
      <w:r w:rsidR="00152838">
        <w:rPr>
          <w:rFonts w:ascii="Times New Roman" w:hAnsi="Times New Roman" w:cs="Times New Roman"/>
          <w:sz w:val="24"/>
          <w:szCs w:val="24"/>
        </w:rPr>
        <w:t xml:space="preserve">uesto XIX Rapporto </w:t>
      </w:r>
      <w:r>
        <w:rPr>
          <w:rFonts w:ascii="Times New Roman" w:hAnsi="Times New Roman" w:cs="Times New Roman"/>
          <w:sz w:val="24"/>
          <w:szCs w:val="24"/>
        </w:rPr>
        <w:t>ha quindi</w:t>
      </w:r>
      <w:r w:rsidR="00F77E94">
        <w:rPr>
          <w:rFonts w:ascii="Times New Roman" w:hAnsi="Times New Roman" w:cs="Times New Roman"/>
          <w:sz w:val="24"/>
          <w:szCs w:val="24"/>
        </w:rPr>
        <w:t xml:space="preserve"> voluto tentare – sul piano valoriale ed economico – un “b</w:t>
      </w:r>
      <w:r w:rsidR="00F77E94">
        <w:rPr>
          <w:rFonts w:ascii="Times New Roman" w:hAnsi="Times New Roman" w:cs="Times New Roman"/>
          <w:sz w:val="24"/>
          <w:szCs w:val="24"/>
        </w:rPr>
        <w:t>i</w:t>
      </w:r>
      <w:r w:rsidR="00F77E94">
        <w:rPr>
          <w:rFonts w:ascii="Times New Roman" w:hAnsi="Times New Roman" w:cs="Times New Roman"/>
          <w:sz w:val="24"/>
          <w:szCs w:val="24"/>
        </w:rPr>
        <w:t>lancio” della parità scolastica</w:t>
      </w:r>
      <w:r w:rsidR="006D0C8A">
        <w:rPr>
          <w:rFonts w:ascii="Times New Roman" w:hAnsi="Times New Roman" w:cs="Times New Roman"/>
          <w:sz w:val="24"/>
          <w:szCs w:val="24"/>
        </w:rPr>
        <w:t>, p</w:t>
      </w:r>
      <w:r w:rsidR="002C6468">
        <w:rPr>
          <w:rFonts w:ascii="Times New Roman" w:hAnsi="Times New Roman" w:cs="Times New Roman"/>
          <w:sz w:val="24"/>
          <w:szCs w:val="24"/>
        </w:rPr>
        <w:t xml:space="preserve">er </w:t>
      </w:r>
      <w:r w:rsidR="00E67A64">
        <w:rPr>
          <w:rFonts w:ascii="Times New Roman" w:hAnsi="Times New Roman" w:cs="Times New Roman"/>
          <w:sz w:val="24"/>
          <w:szCs w:val="24"/>
        </w:rPr>
        <w:t xml:space="preserve">avviare </w:t>
      </w:r>
      <w:r w:rsidR="006D0C8A">
        <w:rPr>
          <w:rFonts w:ascii="Times New Roman" w:hAnsi="Times New Roman" w:cs="Times New Roman"/>
          <w:sz w:val="24"/>
          <w:szCs w:val="24"/>
        </w:rPr>
        <w:t>il quale</w:t>
      </w:r>
      <w:r w:rsidR="002C6468">
        <w:rPr>
          <w:rFonts w:ascii="Times New Roman" w:hAnsi="Times New Roman" w:cs="Times New Roman"/>
          <w:sz w:val="24"/>
          <w:szCs w:val="24"/>
        </w:rPr>
        <w:t xml:space="preserve"> il Centro Studi per la Scuola Cattolica ha pr</w:t>
      </w:r>
      <w:r w:rsidR="002C6468">
        <w:rPr>
          <w:rFonts w:ascii="Times New Roman" w:hAnsi="Times New Roman" w:cs="Times New Roman"/>
          <w:sz w:val="24"/>
          <w:szCs w:val="24"/>
        </w:rPr>
        <w:t>o</w:t>
      </w:r>
      <w:r w:rsidR="002C6468">
        <w:rPr>
          <w:rFonts w:ascii="Times New Roman" w:hAnsi="Times New Roman" w:cs="Times New Roman"/>
          <w:sz w:val="24"/>
          <w:szCs w:val="24"/>
        </w:rPr>
        <w:t xml:space="preserve">mosso un Seminario, che </w:t>
      </w:r>
      <w:r w:rsidR="00F77E94">
        <w:rPr>
          <w:rFonts w:ascii="Times New Roman" w:hAnsi="Times New Roman" w:cs="Times New Roman"/>
          <w:sz w:val="24"/>
          <w:szCs w:val="24"/>
        </w:rPr>
        <w:t>ha riunito</w:t>
      </w:r>
      <w:r w:rsidR="002C6468">
        <w:rPr>
          <w:rFonts w:ascii="Times New Roman" w:hAnsi="Times New Roman" w:cs="Times New Roman"/>
          <w:sz w:val="24"/>
          <w:szCs w:val="24"/>
        </w:rPr>
        <w:t xml:space="preserve"> a Roma il 29 settembre 2016 </w:t>
      </w:r>
      <w:r w:rsidR="00F77E94">
        <w:rPr>
          <w:rFonts w:ascii="Times New Roman" w:hAnsi="Times New Roman" w:cs="Times New Roman"/>
          <w:sz w:val="24"/>
          <w:szCs w:val="24"/>
        </w:rPr>
        <w:t xml:space="preserve">una quarantina </w:t>
      </w:r>
      <w:r w:rsidR="006D0C8A">
        <w:rPr>
          <w:rFonts w:ascii="Times New Roman" w:hAnsi="Times New Roman" w:cs="Times New Roman"/>
          <w:sz w:val="24"/>
          <w:szCs w:val="24"/>
        </w:rPr>
        <w:t>dei</w:t>
      </w:r>
      <w:r w:rsidR="002C6468">
        <w:rPr>
          <w:rFonts w:ascii="Times New Roman" w:hAnsi="Times New Roman" w:cs="Times New Roman"/>
          <w:sz w:val="24"/>
          <w:szCs w:val="24"/>
        </w:rPr>
        <w:t xml:space="preserve"> maggiori espe</w:t>
      </w:r>
      <w:r w:rsidR="002C6468">
        <w:rPr>
          <w:rFonts w:ascii="Times New Roman" w:hAnsi="Times New Roman" w:cs="Times New Roman"/>
          <w:sz w:val="24"/>
          <w:szCs w:val="24"/>
        </w:rPr>
        <w:t>r</w:t>
      </w:r>
      <w:r w:rsidR="002C6468">
        <w:rPr>
          <w:rFonts w:ascii="Times New Roman" w:hAnsi="Times New Roman" w:cs="Times New Roman"/>
          <w:sz w:val="24"/>
          <w:szCs w:val="24"/>
        </w:rPr>
        <w:t xml:space="preserve">ti del settore </w:t>
      </w:r>
      <w:r w:rsidR="00F77E94">
        <w:rPr>
          <w:rFonts w:ascii="Times New Roman" w:hAnsi="Times New Roman" w:cs="Times New Roman"/>
          <w:sz w:val="24"/>
          <w:szCs w:val="24"/>
        </w:rPr>
        <w:t xml:space="preserve">per confrontarsi in un dibattito libero e competente </w:t>
      </w:r>
      <w:r w:rsidR="002C6468">
        <w:rPr>
          <w:rFonts w:ascii="Times New Roman" w:hAnsi="Times New Roman" w:cs="Times New Roman"/>
          <w:sz w:val="24"/>
          <w:szCs w:val="24"/>
        </w:rPr>
        <w:t>sui principali nodi problematici</w:t>
      </w:r>
      <w:r w:rsidR="00F77E94">
        <w:rPr>
          <w:rFonts w:ascii="Times New Roman" w:hAnsi="Times New Roman" w:cs="Times New Roman"/>
          <w:sz w:val="24"/>
          <w:szCs w:val="24"/>
        </w:rPr>
        <w:t xml:space="preserve"> del settore</w:t>
      </w:r>
      <w:r w:rsidR="002C6468">
        <w:rPr>
          <w:rFonts w:ascii="Times New Roman" w:hAnsi="Times New Roman" w:cs="Times New Roman"/>
          <w:sz w:val="24"/>
          <w:szCs w:val="24"/>
        </w:rPr>
        <w:t>. Molti dei partecipanti a quel Seminario hanno poi concretamente collaborato alla stesura del Rapporto.</w:t>
      </w:r>
    </w:p>
    <w:p w:rsidR="00B97332" w:rsidRDefault="00B97332" w:rsidP="00587D0E">
      <w:pPr>
        <w:jc w:val="both"/>
        <w:rPr>
          <w:rFonts w:ascii="Times New Roman" w:hAnsi="Times New Roman" w:cs="Times New Roman"/>
          <w:sz w:val="24"/>
          <w:szCs w:val="24"/>
        </w:rPr>
      </w:pPr>
    </w:p>
    <w:p w:rsidR="00B97332" w:rsidRDefault="00E67A64" w:rsidP="00587D0E">
      <w:pPr>
        <w:jc w:val="both"/>
        <w:rPr>
          <w:rFonts w:ascii="Times New Roman" w:hAnsi="Times New Roman" w:cs="Times New Roman"/>
          <w:sz w:val="24"/>
          <w:szCs w:val="24"/>
        </w:rPr>
      </w:pPr>
      <w:r w:rsidRPr="00E67A64">
        <w:rPr>
          <w:rFonts w:ascii="Times New Roman" w:hAnsi="Times New Roman" w:cs="Times New Roman"/>
          <w:i/>
          <w:sz w:val="24"/>
          <w:szCs w:val="24"/>
        </w:rPr>
        <w:t>2. I numeri della parità</w:t>
      </w:r>
    </w:p>
    <w:p w:rsidR="00B97332" w:rsidRDefault="00B97332" w:rsidP="00587D0E">
      <w:pPr>
        <w:ind w:firstLine="708"/>
        <w:jc w:val="both"/>
        <w:rPr>
          <w:rFonts w:ascii="Times New Roman" w:hAnsi="Times New Roman" w:cs="Times New Roman"/>
          <w:sz w:val="24"/>
          <w:szCs w:val="24"/>
        </w:rPr>
      </w:pPr>
    </w:p>
    <w:p w:rsidR="00E67A64" w:rsidRDefault="00E67A64" w:rsidP="00587D0E">
      <w:pPr>
        <w:ind w:firstLine="708"/>
        <w:jc w:val="both"/>
        <w:rPr>
          <w:rFonts w:ascii="Times New Roman" w:hAnsi="Times New Roman" w:cs="Times New Roman"/>
          <w:sz w:val="24"/>
          <w:szCs w:val="24"/>
        </w:rPr>
      </w:pPr>
      <w:r>
        <w:rPr>
          <w:rFonts w:ascii="Times New Roman" w:hAnsi="Times New Roman" w:cs="Times New Roman"/>
          <w:sz w:val="24"/>
          <w:szCs w:val="24"/>
        </w:rPr>
        <w:t>La parità scolastica nasce in Italia nel 2000 con la legge n. 62, arrivata oltre mezzo secolo d</w:t>
      </w:r>
      <w:r w:rsidR="00B97332">
        <w:rPr>
          <w:rFonts w:ascii="Times New Roman" w:hAnsi="Times New Roman" w:cs="Times New Roman"/>
          <w:sz w:val="24"/>
          <w:szCs w:val="24"/>
        </w:rPr>
        <w:t>opo</w:t>
      </w:r>
      <w:r>
        <w:rPr>
          <w:rFonts w:ascii="Times New Roman" w:hAnsi="Times New Roman" w:cs="Times New Roman"/>
          <w:sz w:val="24"/>
          <w:szCs w:val="24"/>
        </w:rPr>
        <w:t xml:space="preserve"> l’enunciazione costituzionale del principio. </w:t>
      </w:r>
      <w:r w:rsidR="00B97332">
        <w:rPr>
          <w:rFonts w:ascii="Times New Roman" w:hAnsi="Times New Roman" w:cs="Times New Roman"/>
          <w:sz w:val="24"/>
          <w:szCs w:val="24"/>
        </w:rPr>
        <w:t>E</w:t>
      </w:r>
      <w:r>
        <w:rPr>
          <w:rFonts w:ascii="Times New Roman" w:hAnsi="Times New Roman" w:cs="Times New Roman"/>
          <w:sz w:val="24"/>
          <w:szCs w:val="24"/>
        </w:rPr>
        <w:t>sistevano anche prima scuole non statali che g</w:t>
      </w:r>
      <w:r>
        <w:rPr>
          <w:rFonts w:ascii="Times New Roman" w:hAnsi="Times New Roman" w:cs="Times New Roman"/>
          <w:sz w:val="24"/>
          <w:szCs w:val="24"/>
        </w:rPr>
        <w:t>o</w:t>
      </w:r>
      <w:r>
        <w:rPr>
          <w:rFonts w:ascii="Times New Roman" w:hAnsi="Times New Roman" w:cs="Times New Roman"/>
          <w:sz w:val="24"/>
          <w:szCs w:val="24"/>
        </w:rPr>
        <w:t xml:space="preserve">devano di varie forme di riconoscimento, ma solo dal 2000 si può parlare di un </w:t>
      </w:r>
      <w:r w:rsidRPr="00E67A64">
        <w:rPr>
          <w:rFonts w:ascii="Times New Roman" w:hAnsi="Times New Roman" w:cs="Times New Roman"/>
          <w:i/>
          <w:sz w:val="24"/>
          <w:szCs w:val="24"/>
        </w:rPr>
        <w:t>sistema nazionale di istruzione</w:t>
      </w:r>
      <w:r>
        <w:rPr>
          <w:rFonts w:ascii="Times New Roman" w:hAnsi="Times New Roman" w:cs="Times New Roman"/>
          <w:sz w:val="24"/>
          <w:szCs w:val="24"/>
        </w:rPr>
        <w:t>, composto da scuole statali e scuole paritarie. Il rapporto interno tra queste due comp</w:t>
      </w:r>
      <w:r>
        <w:rPr>
          <w:rFonts w:ascii="Times New Roman" w:hAnsi="Times New Roman" w:cs="Times New Roman"/>
          <w:sz w:val="24"/>
          <w:szCs w:val="24"/>
        </w:rPr>
        <w:t>o</w:t>
      </w:r>
      <w:r>
        <w:rPr>
          <w:rFonts w:ascii="Times New Roman" w:hAnsi="Times New Roman" w:cs="Times New Roman"/>
          <w:sz w:val="24"/>
          <w:szCs w:val="24"/>
        </w:rPr>
        <w:t xml:space="preserve">nenti è piuttosto squilibrato, </w:t>
      </w:r>
      <w:r w:rsidR="00B97332">
        <w:rPr>
          <w:rFonts w:ascii="Times New Roman" w:hAnsi="Times New Roman" w:cs="Times New Roman"/>
          <w:sz w:val="24"/>
          <w:szCs w:val="24"/>
        </w:rPr>
        <w:t xml:space="preserve">dal momento che </w:t>
      </w:r>
      <w:r w:rsidR="00D16739">
        <w:rPr>
          <w:rFonts w:ascii="Times New Roman" w:hAnsi="Times New Roman" w:cs="Times New Roman"/>
          <w:sz w:val="24"/>
          <w:szCs w:val="24"/>
        </w:rPr>
        <w:t>la quota di alunni che frequentano una scuola parit</w:t>
      </w:r>
      <w:r w:rsidR="00D16739">
        <w:rPr>
          <w:rFonts w:ascii="Times New Roman" w:hAnsi="Times New Roman" w:cs="Times New Roman"/>
          <w:sz w:val="24"/>
          <w:szCs w:val="24"/>
        </w:rPr>
        <w:t>a</w:t>
      </w:r>
      <w:r w:rsidR="00D16739">
        <w:rPr>
          <w:rFonts w:ascii="Times New Roman" w:hAnsi="Times New Roman" w:cs="Times New Roman"/>
          <w:sz w:val="24"/>
          <w:szCs w:val="24"/>
        </w:rPr>
        <w:t>ria si aggira intorno all’11% del totale nazionale</w:t>
      </w:r>
      <w:r>
        <w:rPr>
          <w:rFonts w:ascii="Times New Roman" w:hAnsi="Times New Roman" w:cs="Times New Roman"/>
          <w:sz w:val="24"/>
          <w:szCs w:val="24"/>
        </w:rPr>
        <w:t>. La Ta</w:t>
      </w:r>
      <w:r w:rsidR="006D0C8A">
        <w:rPr>
          <w:rFonts w:ascii="Times New Roman" w:hAnsi="Times New Roman" w:cs="Times New Roman"/>
          <w:sz w:val="24"/>
          <w:szCs w:val="24"/>
        </w:rPr>
        <w:t>bella</w:t>
      </w:r>
      <w:r>
        <w:rPr>
          <w:rFonts w:ascii="Times New Roman" w:hAnsi="Times New Roman" w:cs="Times New Roman"/>
          <w:sz w:val="24"/>
          <w:szCs w:val="24"/>
        </w:rPr>
        <w:t xml:space="preserve"> 1 ricostruisce l’evoluzione de</w:t>
      </w:r>
      <w:r w:rsidR="00D16739">
        <w:rPr>
          <w:rFonts w:ascii="Times New Roman" w:hAnsi="Times New Roman" w:cs="Times New Roman"/>
          <w:sz w:val="24"/>
          <w:szCs w:val="24"/>
        </w:rPr>
        <w:t>l fen</w:t>
      </w:r>
      <w:r w:rsidR="00D16739">
        <w:rPr>
          <w:rFonts w:ascii="Times New Roman" w:hAnsi="Times New Roman" w:cs="Times New Roman"/>
          <w:sz w:val="24"/>
          <w:szCs w:val="24"/>
        </w:rPr>
        <w:t>o</w:t>
      </w:r>
      <w:r w:rsidR="00D16739">
        <w:rPr>
          <w:rFonts w:ascii="Times New Roman" w:hAnsi="Times New Roman" w:cs="Times New Roman"/>
          <w:sz w:val="24"/>
          <w:szCs w:val="24"/>
        </w:rPr>
        <w:t>meno</w:t>
      </w:r>
      <w:r>
        <w:rPr>
          <w:rFonts w:ascii="Times New Roman" w:hAnsi="Times New Roman" w:cs="Times New Roman"/>
          <w:sz w:val="24"/>
          <w:szCs w:val="24"/>
        </w:rPr>
        <w:t xml:space="preserve"> nel periodo 2007-16, per il quale si dispone di dati comparabili</w:t>
      </w:r>
      <w:r w:rsidR="00D16739">
        <w:rPr>
          <w:rFonts w:ascii="Times New Roman" w:hAnsi="Times New Roman" w:cs="Times New Roman"/>
          <w:sz w:val="24"/>
          <w:szCs w:val="24"/>
        </w:rPr>
        <w:t>.</w:t>
      </w:r>
      <w:r w:rsidR="006D0C8A" w:rsidRPr="006D0C8A">
        <w:rPr>
          <w:rFonts w:ascii="Times New Roman" w:hAnsi="Times New Roman" w:cs="Times New Roman"/>
          <w:sz w:val="24"/>
          <w:szCs w:val="24"/>
        </w:rPr>
        <w:t xml:space="preserve"> </w:t>
      </w:r>
      <w:r w:rsidR="006D0C8A">
        <w:rPr>
          <w:rFonts w:ascii="Times New Roman" w:hAnsi="Times New Roman" w:cs="Times New Roman"/>
          <w:sz w:val="24"/>
          <w:szCs w:val="24"/>
        </w:rPr>
        <w:t>La diminuzione progressiva degli ultimi anni è attribuibile in parte al calo demografico, che ha inciso sull’intero sistema, ma per la scuola paritaria il fenomeno appare accentuato.</w:t>
      </w:r>
    </w:p>
    <w:p w:rsidR="00E67A64" w:rsidRDefault="00E67A64" w:rsidP="00587D0E">
      <w:pPr>
        <w:ind w:firstLine="708"/>
        <w:jc w:val="both"/>
        <w:rPr>
          <w:rFonts w:ascii="Times New Roman" w:hAnsi="Times New Roman" w:cs="Times New Roman"/>
          <w:sz w:val="24"/>
          <w:szCs w:val="24"/>
        </w:rPr>
      </w:pPr>
    </w:p>
    <w:p w:rsidR="00E67A64" w:rsidRPr="00982694" w:rsidRDefault="00E67A64" w:rsidP="00E67A64">
      <w:pPr>
        <w:jc w:val="center"/>
        <w:rPr>
          <w:rFonts w:ascii="Times New Roman" w:hAnsi="Times New Roman" w:cs="Times New Roman"/>
        </w:rPr>
      </w:pPr>
      <w:r>
        <w:rPr>
          <w:rFonts w:ascii="Times New Roman" w:hAnsi="Times New Roman" w:cs="Times New Roman"/>
        </w:rPr>
        <w:t>Ta</w:t>
      </w:r>
      <w:r w:rsidR="006D0C8A">
        <w:rPr>
          <w:rFonts w:ascii="Times New Roman" w:hAnsi="Times New Roman" w:cs="Times New Roman"/>
        </w:rPr>
        <w:t>bel</w:t>
      </w:r>
      <w:r w:rsidR="00D16739">
        <w:rPr>
          <w:rFonts w:ascii="Times New Roman" w:hAnsi="Times New Roman" w:cs="Times New Roman"/>
        </w:rPr>
        <w:t>la</w:t>
      </w:r>
      <w:r>
        <w:rPr>
          <w:rFonts w:ascii="Times New Roman" w:hAnsi="Times New Roman" w:cs="Times New Roman"/>
        </w:rPr>
        <w:t xml:space="preserve"> 1 – </w:t>
      </w:r>
      <w:r w:rsidRPr="00982694">
        <w:rPr>
          <w:rFonts w:ascii="Times New Roman" w:hAnsi="Times New Roman" w:cs="Times New Roman"/>
        </w:rPr>
        <w:t>Gli alunni delle scuole paritarie in Italia (2007-2016)</w:t>
      </w:r>
    </w:p>
    <w:tbl>
      <w:tblPr>
        <w:tblStyle w:val="Grigliatabella"/>
        <w:tblW w:w="0" w:type="auto"/>
        <w:tblLook w:val="04A0" w:firstRow="1" w:lastRow="0" w:firstColumn="1" w:lastColumn="0" w:noHBand="0" w:noVBand="1"/>
      </w:tblPr>
      <w:tblGrid>
        <w:gridCol w:w="1696"/>
        <w:gridCol w:w="1586"/>
        <w:gridCol w:w="1586"/>
        <w:gridCol w:w="1587"/>
        <w:gridCol w:w="1586"/>
        <w:gridCol w:w="1587"/>
      </w:tblGrid>
      <w:tr w:rsidR="00E67A64" w:rsidRPr="00982694" w:rsidTr="00E71228">
        <w:tc>
          <w:tcPr>
            <w:tcW w:w="169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Anno scolastico</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Infanzia</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Primaria</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Sec. I grado</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Sec. II grado</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Totale</w:t>
            </w:r>
          </w:p>
        </w:tc>
      </w:tr>
      <w:tr w:rsidR="00E67A64" w:rsidRPr="00982694" w:rsidTr="00E71228">
        <w:tc>
          <w:tcPr>
            <w:tcW w:w="169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2007-08</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635.215</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191.436</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69.015</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150.360</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1.046.026</w:t>
            </w:r>
          </w:p>
        </w:tc>
      </w:tr>
      <w:tr w:rsidR="00E67A64" w:rsidRPr="00982694" w:rsidTr="00E71228">
        <w:tc>
          <w:tcPr>
            <w:tcW w:w="169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2008-09</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641.946</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191.320</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71.379</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155.687</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1.060.332</w:t>
            </w:r>
          </w:p>
        </w:tc>
      </w:tr>
      <w:tr w:rsidR="00E67A64" w:rsidRPr="00982694" w:rsidTr="00E71228">
        <w:tc>
          <w:tcPr>
            <w:tcW w:w="169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2009-10</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654.699</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193.222</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73.310</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152.974</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1.074.205</w:t>
            </w:r>
          </w:p>
        </w:tc>
      </w:tr>
      <w:tr w:rsidR="00E67A64" w:rsidRPr="00982694" w:rsidTr="00E71228">
        <w:tc>
          <w:tcPr>
            <w:tcW w:w="169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2010-11*</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656.416</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194.385</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72.271</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148.786</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1.071.858</w:t>
            </w:r>
          </w:p>
        </w:tc>
      </w:tr>
      <w:tr w:rsidR="00E67A64" w:rsidRPr="00982694" w:rsidTr="00E71228">
        <w:tc>
          <w:tcPr>
            <w:tcW w:w="169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2011-12</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652.482</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193.875</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73.075</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141.961</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1.061.393</w:t>
            </w:r>
          </w:p>
        </w:tc>
      </w:tr>
      <w:tr w:rsidR="00E67A64" w:rsidRPr="00982694" w:rsidTr="00E71228">
        <w:tc>
          <w:tcPr>
            <w:tcW w:w="169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2012-13</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642.040</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190.608</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69.833</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133.831</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1.036.312</w:t>
            </w:r>
          </w:p>
        </w:tc>
      </w:tr>
      <w:tr w:rsidR="00E67A64" w:rsidRPr="00982694" w:rsidTr="00E71228">
        <w:tc>
          <w:tcPr>
            <w:tcW w:w="169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2013-14</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621.919</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186.356</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66.158</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119.111</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993.544</w:t>
            </w:r>
          </w:p>
        </w:tc>
      </w:tr>
      <w:tr w:rsidR="00E67A64" w:rsidRPr="00982694" w:rsidTr="00E71228">
        <w:tc>
          <w:tcPr>
            <w:tcW w:w="169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2014-15</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604.130</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181.585</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62.186</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113.265</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961.166</w:t>
            </w:r>
          </w:p>
        </w:tc>
      </w:tr>
      <w:tr w:rsidR="00E67A64" w:rsidRPr="00982694" w:rsidTr="00E71228">
        <w:tc>
          <w:tcPr>
            <w:tcW w:w="169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2015-16</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586.442</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177.347</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62.354</w:t>
            </w:r>
          </w:p>
        </w:tc>
        <w:tc>
          <w:tcPr>
            <w:tcW w:w="1586"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113.229</w:t>
            </w:r>
          </w:p>
        </w:tc>
        <w:tc>
          <w:tcPr>
            <w:tcW w:w="1587" w:type="dxa"/>
          </w:tcPr>
          <w:p w:rsidR="00E67A64" w:rsidRPr="00982694" w:rsidRDefault="00E67A64" w:rsidP="00E71228">
            <w:pPr>
              <w:spacing w:before="60" w:after="60"/>
              <w:jc w:val="center"/>
              <w:rPr>
                <w:rFonts w:cs="Times New Roman"/>
                <w:sz w:val="22"/>
                <w:szCs w:val="22"/>
              </w:rPr>
            </w:pPr>
            <w:r w:rsidRPr="00982694">
              <w:rPr>
                <w:rFonts w:cs="Times New Roman"/>
                <w:sz w:val="22"/>
                <w:szCs w:val="22"/>
              </w:rPr>
              <w:t>939.372</w:t>
            </w:r>
          </w:p>
        </w:tc>
      </w:tr>
    </w:tbl>
    <w:p w:rsidR="00E67A64" w:rsidRPr="00E67A64" w:rsidRDefault="00E67A64" w:rsidP="00587D0E">
      <w:pPr>
        <w:jc w:val="both"/>
        <w:rPr>
          <w:rFonts w:ascii="Times New Roman" w:hAnsi="Times New Roman" w:cs="Times New Roman"/>
          <w:sz w:val="20"/>
        </w:rPr>
      </w:pPr>
      <w:r w:rsidRPr="00E67A64">
        <w:rPr>
          <w:rFonts w:ascii="Times New Roman" w:hAnsi="Times New Roman" w:cs="Times New Roman"/>
          <w:sz w:val="20"/>
        </w:rPr>
        <w:t xml:space="preserve">* Tutti i dati sono ricavati da pubblicazioni ufficiali del </w:t>
      </w:r>
      <w:proofErr w:type="spellStart"/>
      <w:r w:rsidR="006D0C8A" w:rsidRPr="006D0C8A">
        <w:rPr>
          <w:rFonts w:ascii="Times New Roman" w:hAnsi="Times New Roman" w:cs="Times New Roman"/>
          <w:smallCaps/>
          <w:sz w:val="20"/>
        </w:rPr>
        <w:t>m</w:t>
      </w:r>
      <w:r w:rsidRPr="006D0C8A">
        <w:rPr>
          <w:rFonts w:ascii="Times New Roman" w:hAnsi="Times New Roman" w:cs="Times New Roman"/>
          <w:smallCaps/>
          <w:sz w:val="20"/>
        </w:rPr>
        <w:t>iur</w:t>
      </w:r>
      <w:proofErr w:type="spellEnd"/>
      <w:r w:rsidRPr="00E67A64">
        <w:rPr>
          <w:rFonts w:ascii="Times New Roman" w:hAnsi="Times New Roman" w:cs="Times New Roman"/>
          <w:sz w:val="20"/>
        </w:rPr>
        <w:t xml:space="preserve"> e sono definitivi. Per </w:t>
      </w:r>
      <w:proofErr w:type="spellStart"/>
      <w:r w:rsidRPr="00E67A64">
        <w:rPr>
          <w:rFonts w:ascii="Times New Roman" w:hAnsi="Times New Roman" w:cs="Times New Roman"/>
          <w:sz w:val="20"/>
        </w:rPr>
        <w:t>l’a.s.</w:t>
      </w:r>
      <w:proofErr w:type="spellEnd"/>
      <w:r w:rsidRPr="00E67A64">
        <w:rPr>
          <w:rFonts w:ascii="Times New Roman" w:hAnsi="Times New Roman" w:cs="Times New Roman"/>
          <w:sz w:val="20"/>
        </w:rPr>
        <w:t xml:space="preserve"> 2010-11</w:t>
      </w:r>
      <w:r>
        <w:rPr>
          <w:rFonts w:ascii="Times New Roman" w:hAnsi="Times New Roman" w:cs="Times New Roman"/>
          <w:sz w:val="20"/>
        </w:rPr>
        <w:t>, in mancanza di dati definitivi</w:t>
      </w:r>
      <w:r w:rsidRPr="00E67A64">
        <w:rPr>
          <w:rFonts w:ascii="Times New Roman" w:hAnsi="Times New Roman" w:cs="Times New Roman"/>
          <w:sz w:val="20"/>
        </w:rPr>
        <w:t xml:space="preserve"> si pubblicano </w:t>
      </w:r>
      <w:r>
        <w:rPr>
          <w:rFonts w:ascii="Times New Roman" w:hAnsi="Times New Roman" w:cs="Times New Roman"/>
          <w:sz w:val="20"/>
        </w:rPr>
        <w:t>quelli</w:t>
      </w:r>
      <w:r w:rsidRPr="00E67A64">
        <w:rPr>
          <w:rFonts w:ascii="Times New Roman" w:hAnsi="Times New Roman" w:cs="Times New Roman"/>
          <w:sz w:val="20"/>
        </w:rPr>
        <w:t xml:space="preserve"> provvisori trasmessi dal </w:t>
      </w:r>
      <w:proofErr w:type="spellStart"/>
      <w:r w:rsidR="006D0C8A" w:rsidRPr="006D0C8A">
        <w:rPr>
          <w:rFonts w:ascii="Times New Roman" w:hAnsi="Times New Roman" w:cs="Times New Roman"/>
          <w:smallCaps/>
          <w:sz w:val="20"/>
        </w:rPr>
        <w:t>m</w:t>
      </w:r>
      <w:r w:rsidRPr="006D0C8A">
        <w:rPr>
          <w:rFonts w:ascii="Times New Roman" w:hAnsi="Times New Roman" w:cs="Times New Roman"/>
          <w:smallCaps/>
          <w:sz w:val="20"/>
        </w:rPr>
        <w:t>iur</w:t>
      </w:r>
      <w:proofErr w:type="spellEnd"/>
      <w:r w:rsidRPr="00E67A64">
        <w:rPr>
          <w:rFonts w:ascii="Times New Roman" w:hAnsi="Times New Roman" w:cs="Times New Roman"/>
          <w:sz w:val="20"/>
        </w:rPr>
        <w:t xml:space="preserve"> al </w:t>
      </w:r>
      <w:proofErr w:type="spellStart"/>
      <w:r w:rsidR="006D0C8A" w:rsidRPr="006D0C8A">
        <w:rPr>
          <w:rFonts w:ascii="Times New Roman" w:hAnsi="Times New Roman" w:cs="Times New Roman"/>
          <w:smallCaps/>
          <w:sz w:val="20"/>
        </w:rPr>
        <w:t>c</w:t>
      </w:r>
      <w:r w:rsidRPr="006D0C8A">
        <w:rPr>
          <w:rFonts w:ascii="Times New Roman" w:hAnsi="Times New Roman" w:cs="Times New Roman"/>
          <w:smallCaps/>
          <w:sz w:val="20"/>
        </w:rPr>
        <w:t>ssc</w:t>
      </w:r>
      <w:proofErr w:type="spellEnd"/>
      <w:r w:rsidR="00B97332">
        <w:rPr>
          <w:rFonts w:ascii="Times New Roman" w:hAnsi="Times New Roman" w:cs="Times New Roman"/>
          <w:sz w:val="20"/>
        </w:rPr>
        <w:t>, i quali sono</w:t>
      </w:r>
      <w:r>
        <w:rPr>
          <w:rFonts w:ascii="Times New Roman" w:hAnsi="Times New Roman" w:cs="Times New Roman"/>
          <w:sz w:val="20"/>
        </w:rPr>
        <w:t xml:space="preserve"> da </w:t>
      </w:r>
      <w:r w:rsidR="00B97332">
        <w:rPr>
          <w:rFonts w:ascii="Times New Roman" w:hAnsi="Times New Roman" w:cs="Times New Roman"/>
          <w:sz w:val="20"/>
        </w:rPr>
        <w:t>ritenere</w:t>
      </w:r>
      <w:r w:rsidRPr="00E67A64">
        <w:rPr>
          <w:rFonts w:ascii="Times New Roman" w:hAnsi="Times New Roman" w:cs="Times New Roman"/>
          <w:sz w:val="20"/>
        </w:rPr>
        <w:t xml:space="preserve"> approssimati per eccesso.</w:t>
      </w:r>
    </w:p>
    <w:p w:rsidR="00E67A64" w:rsidRDefault="00E67A64" w:rsidP="00587D0E">
      <w:pPr>
        <w:ind w:firstLine="708"/>
        <w:jc w:val="both"/>
        <w:rPr>
          <w:rFonts w:ascii="Times New Roman" w:hAnsi="Times New Roman" w:cs="Times New Roman"/>
          <w:sz w:val="24"/>
          <w:szCs w:val="24"/>
        </w:rPr>
      </w:pPr>
    </w:p>
    <w:p w:rsidR="00E67A64" w:rsidRDefault="00E67A64" w:rsidP="00587D0E">
      <w:pPr>
        <w:ind w:firstLine="708"/>
        <w:jc w:val="both"/>
        <w:rPr>
          <w:rFonts w:ascii="Times New Roman" w:hAnsi="Times New Roman" w:cs="Times New Roman"/>
          <w:sz w:val="24"/>
          <w:szCs w:val="24"/>
        </w:rPr>
      </w:pPr>
      <w:r>
        <w:rPr>
          <w:rFonts w:ascii="Times New Roman" w:hAnsi="Times New Roman" w:cs="Times New Roman"/>
          <w:sz w:val="24"/>
          <w:szCs w:val="24"/>
        </w:rPr>
        <w:t>Nella Ta</w:t>
      </w:r>
      <w:r w:rsidR="006D0C8A">
        <w:rPr>
          <w:rFonts w:ascii="Times New Roman" w:hAnsi="Times New Roman" w:cs="Times New Roman"/>
          <w:sz w:val="24"/>
          <w:szCs w:val="24"/>
        </w:rPr>
        <w:t>bel</w:t>
      </w:r>
      <w:r w:rsidR="00B97332">
        <w:rPr>
          <w:rFonts w:ascii="Times New Roman" w:hAnsi="Times New Roman" w:cs="Times New Roman"/>
          <w:sz w:val="24"/>
          <w:szCs w:val="24"/>
        </w:rPr>
        <w:t>la</w:t>
      </w:r>
      <w:r>
        <w:rPr>
          <w:rFonts w:ascii="Times New Roman" w:hAnsi="Times New Roman" w:cs="Times New Roman"/>
          <w:sz w:val="24"/>
          <w:szCs w:val="24"/>
        </w:rPr>
        <w:t xml:space="preserve"> 2 possiamo invece vedere l’evoluzione del numero delle scuole paritarie, pa</w:t>
      </w:r>
      <w:r>
        <w:rPr>
          <w:rFonts w:ascii="Times New Roman" w:hAnsi="Times New Roman" w:cs="Times New Roman"/>
          <w:sz w:val="24"/>
          <w:szCs w:val="24"/>
        </w:rPr>
        <w:t>r</w:t>
      </w:r>
      <w:r>
        <w:rPr>
          <w:rFonts w:ascii="Times New Roman" w:hAnsi="Times New Roman" w:cs="Times New Roman"/>
          <w:sz w:val="24"/>
          <w:szCs w:val="24"/>
        </w:rPr>
        <w:t xml:space="preserve">tite con una certa gradualità nei primi due-tre anni di applicazione della </w:t>
      </w:r>
      <w:r w:rsidR="00D16739">
        <w:rPr>
          <w:rFonts w:ascii="Times New Roman" w:hAnsi="Times New Roman" w:cs="Times New Roman"/>
          <w:sz w:val="24"/>
          <w:szCs w:val="24"/>
        </w:rPr>
        <w:t>legge</w:t>
      </w:r>
      <w:r>
        <w:rPr>
          <w:rFonts w:ascii="Times New Roman" w:hAnsi="Times New Roman" w:cs="Times New Roman"/>
          <w:sz w:val="24"/>
          <w:szCs w:val="24"/>
        </w:rPr>
        <w:t xml:space="preserve"> e poi assestatesi su una quota che ultimamente ha intrapreso un preoccupante declino</w:t>
      </w:r>
      <w:r w:rsidR="006D0C8A">
        <w:rPr>
          <w:rFonts w:ascii="Times New Roman" w:hAnsi="Times New Roman" w:cs="Times New Roman"/>
          <w:sz w:val="24"/>
          <w:szCs w:val="24"/>
        </w:rPr>
        <w:t>.</w:t>
      </w:r>
      <w:r>
        <w:rPr>
          <w:rFonts w:ascii="Times New Roman" w:hAnsi="Times New Roman" w:cs="Times New Roman"/>
          <w:sz w:val="24"/>
          <w:szCs w:val="24"/>
        </w:rPr>
        <w:t xml:space="preserve"> I numeri della crisi sono </w:t>
      </w:r>
      <w:r w:rsidR="00D16739">
        <w:rPr>
          <w:rFonts w:ascii="Times New Roman" w:hAnsi="Times New Roman" w:cs="Times New Roman"/>
          <w:sz w:val="24"/>
          <w:szCs w:val="24"/>
        </w:rPr>
        <w:t>evidenti</w:t>
      </w:r>
      <w:r>
        <w:rPr>
          <w:rFonts w:ascii="Times New Roman" w:hAnsi="Times New Roman" w:cs="Times New Roman"/>
          <w:sz w:val="24"/>
          <w:szCs w:val="24"/>
        </w:rPr>
        <w:t xml:space="preserve"> negli ultimi quattro anni (2012-16) in cui si registra la perdita complessiva di 580 scuole paritarie.</w:t>
      </w:r>
    </w:p>
    <w:p w:rsidR="00E67A64" w:rsidRDefault="00E67A64" w:rsidP="00587D0E">
      <w:pPr>
        <w:ind w:firstLine="708"/>
        <w:jc w:val="both"/>
        <w:rPr>
          <w:rFonts w:ascii="Times New Roman" w:hAnsi="Times New Roman" w:cs="Times New Roman"/>
          <w:sz w:val="24"/>
          <w:szCs w:val="24"/>
        </w:rPr>
      </w:pPr>
    </w:p>
    <w:p w:rsidR="00E67A64" w:rsidRPr="00C359CF" w:rsidRDefault="00E67A64" w:rsidP="00E67A64">
      <w:pPr>
        <w:jc w:val="center"/>
        <w:rPr>
          <w:rFonts w:ascii="Times New Roman" w:hAnsi="Times New Roman" w:cs="Times New Roman"/>
        </w:rPr>
      </w:pPr>
      <w:r>
        <w:rPr>
          <w:rFonts w:ascii="Times New Roman" w:hAnsi="Times New Roman" w:cs="Times New Roman"/>
        </w:rPr>
        <w:t xml:space="preserve">Tabella 2 – </w:t>
      </w:r>
      <w:r w:rsidRPr="00C359CF">
        <w:rPr>
          <w:rFonts w:ascii="Times New Roman" w:hAnsi="Times New Roman" w:cs="Times New Roman"/>
        </w:rPr>
        <w:t>Le scuole paritarie in Italia (2000-2016)</w:t>
      </w:r>
    </w:p>
    <w:tbl>
      <w:tblPr>
        <w:tblStyle w:val="Grigliatabella"/>
        <w:tblW w:w="0" w:type="auto"/>
        <w:tblLook w:val="04A0" w:firstRow="1" w:lastRow="0" w:firstColumn="1" w:lastColumn="0" w:noHBand="0" w:noVBand="1"/>
      </w:tblPr>
      <w:tblGrid>
        <w:gridCol w:w="1696"/>
        <w:gridCol w:w="1586"/>
        <w:gridCol w:w="1586"/>
        <w:gridCol w:w="1587"/>
        <w:gridCol w:w="1586"/>
        <w:gridCol w:w="1587"/>
      </w:tblGrid>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Anno scolastico</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Infanzia</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Primaria</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Sec. I grado</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Sec. II grado</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Totale</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2000-01</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6.976</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624</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405</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705</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8.710</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2001-02</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8.533</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1.106</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593</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1.094</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11.326</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2002-03</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9.031</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1.287</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641</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1.307</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12.266</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2003-04</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8.860</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1.343</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648</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1.317</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12.168</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lastRenderedPageBreak/>
              <w:t>2004-05</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9.123</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1.427</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661</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1.365</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12.576</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2005-06</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9.245</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1.448</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667</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1.358</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12.718</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2006-07</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9.311</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1.467</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666</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1.451</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12.895</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2007-08</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9.570</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1.502</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682</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1.498</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13.252</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2008-09</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9.846</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1.499</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676</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1.538</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13.559</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2009-10</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9.935</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1.511</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670</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1.544</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13.670</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2010-11*</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10.259</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1.540</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682</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1.668</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14.149</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2011-12*</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9.767</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1.509</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683</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1.585</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13.544</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2012-13</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9.940</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1.512</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692</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1.703</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13.847</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2013-14</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9.781</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1.493</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677</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1.674</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13.625</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2014-15</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9.668</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1.482</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654</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1.694</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13.498</w:t>
            </w:r>
          </w:p>
        </w:tc>
      </w:tr>
      <w:tr w:rsidR="00E67A64" w:rsidRPr="00C359CF" w:rsidTr="00E71228">
        <w:tc>
          <w:tcPr>
            <w:tcW w:w="169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2015-16</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9.508</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1.468</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650</w:t>
            </w:r>
          </w:p>
        </w:tc>
        <w:tc>
          <w:tcPr>
            <w:tcW w:w="1586"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1.641</w:t>
            </w:r>
          </w:p>
        </w:tc>
        <w:tc>
          <w:tcPr>
            <w:tcW w:w="1587" w:type="dxa"/>
          </w:tcPr>
          <w:p w:rsidR="00E67A64" w:rsidRPr="00C359CF" w:rsidRDefault="00E67A64" w:rsidP="00E71228">
            <w:pPr>
              <w:spacing w:before="60" w:after="60"/>
              <w:jc w:val="center"/>
              <w:rPr>
                <w:rFonts w:cs="Times New Roman"/>
                <w:sz w:val="22"/>
                <w:szCs w:val="22"/>
              </w:rPr>
            </w:pPr>
            <w:r w:rsidRPr="00C359CF">
              <w:rPr>
                <w:rFonts w:cs="Times New Roman"/>
                <w:sz w:val="22"/>
                <w:szCs w:val="22"/>
              </w:rPr>
              <w:t>13.267</w:t>
            </w:r>
          </w:p>
        </w:tc>
      </w:tr>
    </w:tbl>
    <w:p w:rsidR="00E67A64" w:rsidRPr="00D16739" w:rsidRDefault="00E67A64" w:rsidP="00587D0E">
      <w:pPr>
        <w:jc w:val="both"/>
        <w:rPr>
          <w:rFonts w:ascii="Times New Roman" w:hAnsi="Times New Roman" w:cs="Times New Roman"/>
          <w:sz w:val="20"/>
        </w:rPr>
      </w:pPr>
      <w:r w:rsidRPr="00D16739">
        <w:rPr>
          <w:rFonts w:ascii="Times New Roman" w:hAnsi="Times New Roman" w:cs="Times New Roman"/>
          <w:sz w:val="20"/>
        </w:rPr>
        <w:t xml:space="preserve">* Negli anni scolastici 2010-11 e 2011-12 il </w:t>
      </w:r>
      <w:proofErr w:type="spellStart"/>
      <w:r w:rsidR="006D0C8A" w:rsidRPr="006D0C8A">
        <w:rPr>
          <w:rFonts w:ascii="Times New Roman" w:hAnsi="Times New Roman" w:cs="Times New Roman"/>
          <w:smallCaps/>
          <w:sz w:val="20"/>
        </w:rPr>
        <w:t>m</w:t>
      </w:r>
      <w:r w:rsidRPr="006D0C8A">
        <w:rPr>
          <w:rFonts w:ascii="Times New Roman" w:hAnsi="Times New Roman" w:cs="Times New Roman"/>
          <w:smallCaps/>
          <w:sz w:val="20"/>
        </w:rPr>
        <w:t>iur</w:t>
      </w:r>
      <w:proofErr w:type="spellEnd"/>
      <w:r w:rsidRPr="00D16739">
        <w:rPr>
          <w:rFonts w:ascii="Times New Roman" w:hAnsi="Times New Roman" w:cs="Times New Roman"/>
          <w:sz w:val="20"/>
        </w:rPr>
        <w:t xml:space="preserve"> non ha diffuso dati ufficiali. Al loro posto sono pubblicati i dati pro</w:t>
      </w:r>
      <w:r w:rsidRPr="00D16739">
        <w:rPr>
          <w:rFonts w:ascii="Times New Roman" w:hAnsi="Times New Roman" w:cs="Times New Roman"/>
          <w:sz w:val="20"/>
        </w:rPr>
        <w:t>v</w:t>
      </w:r>
      <w:r w:rsidRPr="00D16739">
        <w:rPr>
          <w:rFonts w:ascii="Times New Roman" w:hAnsi="Times New Roman" w:cs="Times New Roman"/>
          <w:sz w:val="20"/>
        </w:rPr>
        <w:t xml:space="preserve">visori trasmessi dal </w:t>
      </w:r>
      <w:proofErr w:type="spellStart"/>
      <w:r w:rsidR="006D0C8A" w:rsidRPr="006D0C8A">
        <w:rPr>
          <w:rFonts w:ascii="Times New Roman" w:hAnsi="Times New Roman" w:cs="Times New Roman"/>
          <w:smallCaps/>
          <w:sz w:val="20"/>
        </w:rPr>
        <w:t>m</w:t>
      </w:r>
      <w:r w:rsidRPr="006D0C8A">
        <w:rPr>
          <w:rFonts w:ascii="Times New Roman" w:hAnsi="Times New Roman" w:cs="Times New Roman"/>
          <w:smallCaps/>
          <w:sz w:val="20"/>
        </w:rPr>
        <w:t>iur</w:t>
      </w:r>
      <w:proofErr w:type="spellEnd"/>
      <w:r w:rsidRPr="00D16739">
        <w:rPr>
          <w:rFonts w:ascii="Times New Roman" w:hAnsi="Times New Roman" w:cs="Times New Roman"/>
          <w:sz w:val="20"/>
        </w:rPr>
        <w:t xml:space="preserve"> al </w:t>
      </w:r>
      <w:proofErr w:type="spellStart"/>
      <w:r w:rsidR="006D0C8A" w:rsidRPr="006D0C8A">
        <w:rPr>
          <w:rFonts w:ascii="Times New Roman" w:hAnsi="Times New Roman" w:cs="Times New Roman"/>
          <w:smallCaps/>
          <w:sz w:val="20"/>
        </w:rPr>
        <w:t>c</w:t>
      </w:r>
      <w:r w:rsidR="00D16739" w:rsidRPr="006D0C8A">
        <w:rPr>
          <w:rFonts w:ascii="Times New Roman" w:hAnsi="Times New Roman" w:cs="Times New Roman"/>
          <w:smallCaps/>
          <w:sz w:val="20"/>
        </w:rPr>
        <w:t>ssc</w:t>
      </w:r>
      <w:proofErr w:type="spellEnd"/>
      <w:r w:rsidRPr="00D16739">
        <w:rPr>
          <w:rFonts w:ascii="Times New Roman" w:hAnsi="Times New Roman" w:cs="Times New Roman"/>
          <w:sz w:val="20"/>
        </w:rPr>
        <w:t xml:space="preserve">, i quali </w:t>
      </w:r>
      <w:r w:rsidR="00D16739">
        <w:rPr>
          <w:rFonts w:ascii="Times New Roman" w:hAnsi="Times New Roman" w:cs="Times New Roman"/>
          <w:sz w:val="20"/>
        </w:rPr>
        <w:t xml:space="preserve">sono da </w:t>
      </w:r>
      <w:r w:rsidRPr="00D16739">
        <w:rPr>
          <w:rFonts w:ascii="Times New Roman" w:hAnsi="Times New Roman" w:cs="Times New Roman"/>
          <w:sz w:val="20"/>
        </w:rPr>
        <w:t>considera</w:t>
      </w:r>
      <w:r w:rsidR="00D16739">
        <w:rPr>
          <w:rFonts w:ascii="Times New Roman" w:hAnsi="Times New Roman" w:cs="Times New Roman"/>
          <w:sz w:val="20"/>
        </w:rPr>
        <w:t>re</w:t>
      </w:r>
      <w:r w:rsidRPr="00D16739">
        <w:rPr>
          <w:rFonts w:ascii="Times New Roman" w:hAnsi="Times New Roman" w:cs="Times New Roman"/>
          <w:sz w:val="20"/>
        </w:rPr>
        <w:t xml:space="preserve"> approssimati per eccesso.</w:t>
      </w:r>
    </w:p>
    <w:p w:rsidR="00E67A64" w:rsidRDefault="00E67A64" w:rsidP="00587D0E">
      <w:pPr>
        <w:ind w:firstLine="708"/>
        <w:jc w:val="both"/>
        <w:rPr>
          <w:rFonts w:ascii="Times New Roman" w:hAnsi="Times New Roman" w:cs="Times New Roman"/>
          <w:sz w:val="24"/>
          <w:szCs w:val="24"/>
        </w:rPr>
      </w:pPr>
    </w:p>
    <w:p w:rsidR="00E67A64" w:rsidRDefault="00E67A64" w:rsidP="00587D0E">
      <w:pPr>
        <w:ind w:firstLine="708"/>
        <w:jc w:val="both"/>
        <w:rPr>
          <w:rFonts w:ascii="Times New Roman" w:hAnsi="Times New Roman" w:cs="Times New Roman"/>
          <w:sz w:val="24"/>
          <w:szCs w:val="24"/>
        </w:rPr>
      </w:pPr>
      <w:r>
        <w:rPr>
          <w:rFonts w:ascii="Times New Roman" w:hAnsi="Times New Roman" w:cs="Times New Roman"/>
          <w:sz w:val="24"/>
          <w:szCs w:val="24"/>
        </w:rPr>
        <w:t>All’interno dell’universo delle scuole paritarie si collocano poi le scuole cattoliche, cui è d</w:t>
      </w:r>
      <w:r>
        <w:rPr>
          <w:rFonts w:ascii="Times New Roman" w:hAnsi="Times New Roman" w:cs="Times New Roman"/>
          <w:sz w:val="24"/>
          <w:szCs w:val="24"/>
        </w:rPr>
        <w:t>e</w:t>
      </w:r>
      <w:r>
        <w:rPr>
          <w:rFonts w:ascii="Times New Roman" w:hAnsi="Times New Roman" w:cs="Times New Roman"/>
          <w:sz w:val="24"/>
          <w:szCs w:val="24"/>
        </w:rPr>
        <w:t>dicata l’appendice statistica di questo volume per quanto riguarda i dati relativi all’anno scolastico 2016-17, ma in questa sede interessa soffermare l’attenzione sul complessivo sottosistema della p</w:t>
      </w:r>
      <w:r>
        <w:rPr>
          <w:rFonts w:ascii="Times New Roman" w:hAnsi="Times New Roman" w:cs="Times New Roman"/>
          <w:sz w:val="24"/>
          <w:szCs w:val="24"/>
        </w:rPr>
        <w:t>a</w:t>
      </w:r>
      <w:r>
        <w:rPr>
          <w:rFonts w:ascii="Times New Roman" w:hAnsi="Times New Roman" w:cs="Times New Roman"/>
          <w:sz w:val="24"/>
          <w:szCs w:val="24"/>
        </w:rPr>
        <w:t>rità e sulle sue dinamiche interne.</w:t>
      </w:r>
    </w:p>
    <w:p w:rsidR="00E67A64" w:rsidRDefault="00E67A64" w:rsidP="00587D0E">
      <w:pPr>
        <w:jc w:val="both"/>
        <w:rPr>
          <w:rFonts w:ascii="Times New Roman" w:hAnsi="Times New Roman" w:cs="Times New Roman"/>
          <w:sz w:val="24"/>
          <w:szCs w:val="24"/>
        </w:rPr>
      </w:pPr>
    </w:p>
    <w:p w:rsidR="00E31720" w:rsidRPr="00E31720" w:rsidRDefault="00E31720" w:rsidP="00587D0E">
      <w:pPr>
        <w:jc w:val="both"/>
        <w:rPr>
          <w:rFonts w:ascii="Times New Roman" w:hAnsi="Times New Roman" w:cs="Times New Roman"/>
          <w:i/>
          <w:sz w:val="24"/>
          <w:szCs w:val="24"/>
        </w:rPr>
      </w:pPr>
      <w:r w:rsidRPr="00E31720">
        <w:rPr>
          <w:rFonts w:ascii="Times New Roman" w:hAnsi="Times New Roman" w:cs="Times New Roman"/>
          <w:i/>
          <w:sz w:val="24"/>
          <w:szCs w:val="24"/>
        </w:rPr>
        <w:t xml:space="preserve">3. </w:t>
      </w:r>
      <w:r w:rsidR="00314F34">
        <w:rPr>
          <w:rFonts w:ascii="Times New Roman" w:hAnsi="Times New Roman" w:cs="Times New Roman"/>
          <w:i/>
          <w:sz w:val="24"/>
          <w:szCs w:val="24"/>
        </w:rPr>
        <w:t>La dimensione economica</w:t>
      </w:r>
    </w:p>
    <w:p w:rsidR="00E31720" w:rsidRPr="00C95C77" w:rsidRDefault="00E31720" w:rsidP="00587D0E">
      <w:pPr>
        <w:jc w:val="both"/>
        <w:rPr>
          <w:rFonts w:ascii="Times New Roman" w:hAnsi="Times New Roman" w:cs="Times New Roman"/>
          <w:sz w:val="24"/>
          <w:szCs w:val="24"/>
        </w:rPr>
      </w:pPr>
    </w:p>
    <w:p w:rsidR="007E7DCC" w:rsidRPr="00C95C77" w:rsidRDefault="00D16E71" w:rsidP="00587D0E">
      <w:pPr>
        <w:ind w:firstLine="708"/>
        <w:jc w:val="both"/>
        <w:rPr>
          <w:rFonts w:ascii="Times New Roman" w:hAnsi="Times New Roman" w:cs="Times New Roman"/>
          <w:sz w:val="24"/>
          <w:szCs w:val="24"/>
        </w:rPr>
      </w:pPr>
      <w:r>
        <w:rPr>
          <w:rFonts w:ascii="Times New Roman" w:hAnsi="Times New Roman" w:cs="Times New Roman"/>
          <w:sz w:val="24"/>
          <w:szCs w:val="24"/>
        </w:rPr>
        <w:t xml:space="preserve">Se partiamo dalla </w:t>
      </w:r>
      <w:r w:rsidRPr="002E3235">
        <w:rPr>
          <w:rFonts w:ascii="Times New Roman" w:hAnsi="Times New Roman" w:cs="Times New Roman"/>
          <w:sz w:val="24"/>
          <w:szCs w:val="24"/>
        </w:rPr>
        <w:t xml:space="preserve">dimensione </w:t>
      </w:r>
      <w:r w:rsidR="007E7DCC" w:rsidRPr="002E3235">
        <w:rPr>
          <w:rFonts w:ascii="Times New Roman" w:hAnsi="Times New Roman" w:cs="Times New Roman"/>
          <w:sz w:val="24"/>
          <w:szCs w:val="24"/>
        </w:rPr>
        <w:t>economic</w:t>
      </w:r>
      <w:r w:rsidRPr="002E3235">
        <w:rPr>
          <w:rFonts w:ascii="Times New Roman" w:hAnsi="Times New Roman" w:cs="Times New Roman"/>
          <w:sz w:val="24"/>
          <w:szCs w:val="24"/>
        </w:rPr>
        <w:t>a</w:t>
      </w:r>
      <w:r w:rsidR="007E7DCC" w:rsidRPr="00C95C77">
        <w:rPr>
          <w:rFonts w:ascii="Times New Roman" w:hAnsi="Times New Roman" w:cs="Times New Roman"/>
          <w:sz w:val="24"/>
          <w:szCs w:val="24"/>
        </w:rPr>
        <w:t xml:space="preserve"> è più difficile per la scuola statale che per quella non statale individuare i costi del proprio servizio scolastico</w:t>
      </w:r>
      <w:r w:rsidR="00EB6C14">
        <w:rPr>
          <w:rStyle w:val="Rimandonotaapidipagina"/>
          <w:rFonts w:ascii="Times New Roman" w:hAnsi="Times New Roman" w:cs="Times New Roman"/>
          <w:sz w:val="24"/>
          <w:szCs w:val="24"/>
        </w:rPr>
        <w:footnoteReference w:id="2"/>
      </w:r>
      <w:r w:rsidR="007E7DCC" w:rsidRPr="00C95C77">
        <w:rPr>
          <w:rFonts w:ascii="Times New Roman" w:hAnsi="Times New Roman" w:cs="Times New Roman"/>
          <w:sz w:val="24"/>
          <w:szCs w:val="24"/>
        </w:rPr>
        <w:t xml:space="preserve">: ci sono </w:t>
      </w:r>
      <w:r w:rsidR="00E31720">
        <w:rPr>
          <w:rFonts w:ascii="Times New Roman" w:hAnsi="Times New Roman" w:cs="Times New Roman"/>
          <w:sz w:val="24"/>
          <w:szCs w:val="24"/>
        </w:rPr>
        <w:t>quelli</w:t>
      </w:r>
      <w:r w:rsidR="007E7DCC" w:rsidRPr="00C95C77">
        <w:rPr>
          <w:rFonts w:ascii="Times New Roman" w:hAnsi="Times New Roman" w:cs="Times New Roman"/>
          <w:sz w:val="24"/>
          <w:szCs w:val="24"/>
        </w:rPr>
        <w:t xml:space="preserve"> relativi ai </w:t>
      </w:r>
      <w:r w:rsidR="007E7DCC" w:rsidRPr="00E31720">
        <w:rPr>
          <w:rFonts w:ascii="Times New Roman" w:hAnsi="Times New Roman" w:cs="Times New Roman"/>
          <w:sz w:val="24"/>
          <w:szCs w:val="24"/>
        </w:rPr>
        <w:t>beni materiali</w:t>
      </w:r>
      <w:r w:rsidR="007E7DCC" w:rsidRPr="00C95C77">
        <w:rPr>
          <w:rFonts w:ascii="Times New Roman" w:hAnsi="Times New Roman" w:cs="Times New Roman"/>
          <w:sz w:val="24"/>
          <w:szCs w:val="24"/>
        </w:rPr>
        <w:t xml:space="preserve"> (edifici, attrezzature, ecc.) e </w:t>
      </w:r>
      <w:r w:rsidR="00E31720">
        <w:rPr>
          <w:rFonts w:ascii="Times New Roman" w:hAnsi="Times New Roman" w:cs="Times New Roman"/>
          <w:sz w:val="24"/>
          <w:szCs w:val="24"/>
        </w:rPr>
        <w:t>quelli</w:t>
      </w:r>
      <w:r w:rsidR="007E7DCC" w:rsidRPr="00C95C77">
        <w:rPr>
          <w:rFonts w:ascii="Times New Roman" w:hAnsi="Times New Roman" w:cs="Times New Roman"/>
          <w:sz w:val="24"/>
          <w:szCs w:val="24"/>
        </w:rPr>
        <w:t xml:space="preserve"> relativi a</w:t>
      </w:r>
      <w:r w:rsidR="007E7DCC">
        <w:rPr>
          <w:rFonts w:ascii="Times New Roman" w:hAnsi="Times New Roman" w:cs="Times New Roman"/>
          <w:sz w:val="24"/>
          <w:szCs w:val="24"/>
        </w:rPr>
        <w:t xml:space="preserve">l </w:t>
      </w:r>
      <w:r w:rsidR="007E7DCC" w:rsidRPr="00E31720">
        <w:rPr>
          <w:rFonts w:ascii="Times New Roman" w:hAnsi="Times New Roman" w:cs="Times New Roman"/>
          <w:sz w:val="24"/>
          <w:szCs w:val="24"/>
        </w:rPr>
        <w:t>personale</w:t>
      </w:r>
      <w:r w:rsidR="007E7DCC" w:rsidRPr="00C95C77">
        <w:rPr>
          <w:rFonts w:ascii="Times New Roman" w:hAnsi="Times New Roman" w:cs="Times New Roman"/>
          <w:sz w:val="24"/>
          <w:szCs w:val="24"/>
        </w:rPr>
        <w:t xml:space="preserve"> (stipendi), ma anche costi relativi all’</w:t>
      </w:r>
      <w:r w:rsidR="007E7DCC" w:rsidRPr="00E31720">
        <w:rPr>
          <w:rFonts w:ascii="Times New Roman" w:hAnsi="Times New Roman" w:cs="Times New Roman"/>
          <w:sz w:val="24"/>
          <w:szCs w:val="24"/>
        </w:rPr>
        <w:t>organizzazione</w:t>
      </w:r>
      <w:r w:rsidR="007E7DCC" w:rsidRPr="00C95C77">
        <w:rPr>
          <w:rFonts w:ascii="Times New Roman" w:hAnsi="Times New Roman" w:cs="Times New Roman"/>
          <w:sz w:val="24"/>
          <w:szCs w:val="24"/>
        </w:rPr>
        <w:t xml:space="preserve"> complessiva del servizio (Ministero centrale e strutture territoriali) oltre ai costi dei </w:t>
      </w:r>
      <w:r w:rsidR="007E7DCC" w:rsidRPr="00E31720">
        <w:rPr>
          <w:rFonts w:ascii="Times New Roman" w:hAnsi="Times New Roman" w:cs="Times New Roman"/>
          <w:sz w:val="24"/>
          <w:szCs w:val="24"/>
        </w:rPr>
        <w:t>servizi</w:t>
      </w:r>
      <w:r w:rsidR="007E7DCC" w:rsidRPr="00C95C77">
        <w:rPr>
          <w:rFonts w:ascii="Times New Roman" w:hAnsi="Times New Roman" w:cs="Times New Roman"/>
          <w:sz w:val="24"/>
          <w:szCs w:val="24"/>
        </w:rPr>
        <w:t xml:space="preserve"> complementari (energia, sussidi, ecc.</w:t>
      </w:r>
      <w:r w:rsidR="00E31720">
        <w:rPr>
          <w:rFonts w:ascii="Times New Roman" w:hAnsi="Times New Roman" w:cs="Times New Roman"/>
          <w:sz w:val="24"/>
          <w:szCs w:val="24"/>
        </w:rPr>
        <w:t>)</w:t>
      </w:r>
      <w:r w:rsidR="007E7DCC" w:rsidRPr="00C95C77">
        <w:rPr>
          <w:rFonts w:ascii="Times New Roman" w:hAnsi="Times New Roman" w:cs="Times New Roman"/>
          <w:sz w:val="24"/>
          <w:szCs w:val="24"/>
        </w:rPr>
        <w:t xml:space="preserve">, spesso a carico di soggetti diversi dallo Stato, di natura pubblica e privata. Di fatto sono molto approssimative (sempre per difetto) le cifre fornite in varie sedi </w:t>
      </w:r>
      <w:r w:rsidR="00976BE2">
        <w:rPr>
          <w:rFonts w:ascii="Times New Roman" w:hAnsi="Times New Roman" w:cs="Times New Roman"/>
          <w:sz w:val="24"/>
          <w:szCs w:val="24"/>
        </w:rPr>
        <w:t>su</w:t>
      </w:r>
      <w:r w:rsidR="007E7DCC" w:rsidRPr="00C95C77">
        <w:rPr>
          <w:rFonts w:ascii="Times New Roman" w:hAnsi="Times New Roman" w:cs="Times New Roman"/>
          <w:sz w:val="24"/>
          <w:szCs w:val="24"/>
        </w:rPr>
        <w:t>i costi del servizio scolastico statale</w:t>
      </w:r>
      <w:r w:rsidR="00F77E94">
        <w:rPr>
          <w:rFonts w:ascii="Times New Roman" w:hAnsi="Times New Roman" w:cs="Times New Roman"/>
          <w:sz w:val="24"/>
          <w:szCs w:val="24"/>
        </w:rPr>
        <w:t xml:space="preserve"> e </w:t>
      </w:r>
      <w:r w:rsidR="001E0965">
        <w:rPr>
          <w:rFonts w:ascii="Times New Roman" w:hAnsi="Times New Roman" w:cs="Times New Roman"/>
          <w:sz w:val="24"/>
          <w:szCs w:val="24"/>
        </w:rPr>
        <w:t>la spesa</w:t>
      </w:r>
      <w:r w:rsidR="00F77E94">
        <w:rPr>
          <w:rFonts w:ascii="Times New Roman" w:hAnsi="Times New Roman" w:cs="Times New Roman"/>
          <w:sz w:val="24"/>
          <w:szCs w:val="24"/>
        </w:rPr>
        <w:t xml:space="preserve"> </w:t>
      </w:r>
      <w:r w:rsidR="00976BE2">
        <w:rPr>
          <w:rFonts w:ascii="Times New Roman" w:hAnsi="Times New Roman" w:cs="Times New Roman"/>
          <w:sz w:val="24"/>
          <w:szCs w:val="24"/>
        </w:rPr>
        <w:t>reale</w:t>
      </w:r>
      <w:r w:rsidR="00F77E94">
        <w:rPr>
          <w:rFonts w:ascii="Times New Roman" w:hAnsi="Times New Roman" w:cs="Times New Roman"/>
          <w:sz w:val="24"/>
          <w:szCs w:val="24"/>
        </w:rPr>
        <w:t xml:space="preserve"> per studente di scuola statale rim</w:t>
      </w:r>
      <w:r w:rsidR="00F77E94">
        <w:rPr>
          <w:rFonts w:ascii="Times New Roman" w:hAnsi="Times New Roman" w:cs="Times New Roman"/>
          <w:sz w:val="24"/>
          <w:szCs w:val="24"/>
        </w:rPr>
        <w:t>a</w:t>
      </w:r>
      <w:r w:rsidR="00F77E94">
        <w:rPr>
          <w:rFonts w:ascii="Times New Roman" w:hAnsi="Times New Roman" w:cs="Times New Roman"/>
          <w:sz w:val="24"/>
          <w:szCs w:val="24"/>
        </w:rPr>
        <w:t>ne un’incognita probabilmente per lo stesso Ministero</w:t>
      </w:r>
      <w:r>
        <w:rPr>
          <w:rFonts w:ascii="Times New Roman" w:hAnsi="Times New Roman" w:cs="Times New Roman"/>
          <w:sz w:val="24"/>
          <w:szCs w:val="24"/>
        </w:rPr>
        <w:t xml:space="preserve">, nonostante si sia arrivati </w:t>
      </w:r>
      <w:r w:rsidR="00C14D4C">
        <w:rPr>
          <w:rFonts w:ascii="Times New Roman" w:hAnsi="Times New Roman" w:cs="Times New Roman"/>
          <w:sz w:val="24"/>
          <w:szCs w:val="24"/>
        </w:rPr>
        <w:t xml:space="preserve">recentemente </w:t>
      </w:r>
      <w:r>
        <w:rPr>
          <w:rFonts w:ascii="Times New Roman" w:hAnsi="Times New Roman" w:cs="Times New Roman"/>
          <w:sz w:val="24"/>
          <w:szCs w:val="24"/>
        </w:rPr>
        <w:t>– per motivi incidentali legati proprio al regime fiscale delle scuole paritarie –</w:t>
      </w:r>
      <w:r w:rsidR="00C14D4C">
        <w:rPr>
          <w:rFonts w:ascii="Times New Roman" w:hAnsi="Times New Roman" w:cs="Times New Roman"/>
          <w:sz w:val="24"/>
          <w:szCs w:val="24"/>
        </w:rPr>
        <w:t xml:space="preserve"> </w:t>
      </w:r>
      <w:r>
        <w:rPr>
          <w:rFonts w:ascii="Times New Roman" w:hAnsi="Times New Roman" w:cs="Times New Roman"/>
          <w:sz w:val="24"/>
          <w:szCs w:val="24"/>
        </w:rPr>
        <w:t>ad una cifra</w:t>
      </w:r>
      <w:r w:rsidR="00C14D4C">
        <w:rPr>
          <w:rFonts w:ascii="Times New Roman" w:hAnsi="Times New Roman" w:cs="Times New Roman"/>
          <w:sz w:val="24"/>
          <w:szCs w:val="24"/>
        </w:rPr>
        <w:t xml:space="preserve"> ufficiale che nel 2014 oscillava tra i 5.700 e i 6.900 euro annui a seconda del livello scolastico</w:t>
      </w:r>
      <w:r w:rsidR="00F77E94">
        <w:rPr>
          <w:rFonts w:ascii="Times New Roman" w:hAnsi="Times New Roman" w:cs="Times New Roman"/>
          <w:sz w:val="24"/>
          <w:szCs w:val="24"/>
        </w:rPr>
        <w:t>.</w:t>
      </w:r>
    </w:p>
    <w:p w:rsidR="007E7DCC" w:rsidRPr="00C95C77" w:rsidRDefault="007E7DCC" w:rsidP="00587D0E">
      <w:pPr>
        <w:ind w:firstLine="708"/>
        <w:jc w:val="both"/>
        <w:rPr>
          <w:rFonts w:ascii="Times New Roman" w:hAnsi="Times New Roman" w:cs="Times New Roman"/>
          <w:sz w:val="24"/>
          <w:szCs w:val="24"/>
        </w:rPr>
      </w:pPr>
      <w:r w:rsidRPr="00C95C77">
        <w:rPr>
          <w:rFonts w:ascii="Times New Roman" w:hAnsi="Times New Roman" w:cs="Times New Roman"/>
          <w:sz w:val="24"/>
          <w:szCs w:val="24"/>
        </w:rPr>
        <w:t>Per certi aspetti è più facile ricostruire i costi di una scuola non statale</w:t>
      </w:r>
      <w:r w:rsidR="00EB6C14">
        <w:rPr>
          <w:rStyle w:val="Rimandonotaapidipagina"/>
          <w:rFonts w:ascii="Times New Roman" w:hAnsi="Times New Roman" w:cs="Times New Roman"/>
          <w:sz w:val="24"/>
          <w:szCs w:val="24"/>
        </w:rPr>
        <w:footnoteReference w:id="3"/>
      </w:r>
      <w:r w:rsidRPr="00C95C77">
        <w:rPr>
          <w:rFonts w:ascii="Times New Roman" w:hAnsi="Times New Roman" w:cs="Times New Roman"/>
          <w:sz w:val="24"/>
          <w:szCs w:val="24"/>
        </w:rPr>
        <w:t>, dato che le spese sono più circoscritte e in genere a carico di un solo ente gestore, che è proprietario degli immobili, ne cura la manutenzione, ne assicura le forniture energetiche e paga gli stipendi di tutti i dipendenti. Si tratta di solito di spese proporzionalmente inferiori rispetto a quelle statali, non solo per una più oculata amministrazione ma anche per una minore incidenza dei costi di organizzazione</w:t>
      </w:r>
      <w:r w:rsidR="00060715">
        <w:rPr>
          <w:rFonts w:ascii="Times New Roman" w:hAnsi="Times New Roman" w:cs="Times New Roman"/>
          <w:sz w:val="24"/>
          <w:szCs w:val="24"/>
        </w:rPr>
        <w:t>.</w:t>
      </w:r>
      <w:r w:rsidRPr="00C95C77">
        <w:rPr>
          <w:rFonts w:ascii="Times New Roman" w:hAnsi="Times New Roman" w:cs="Times New Roman"/>
          <w:sz w:val="24"/>
          <w:szCs w:val="24"/>
        </w:rPr>
        <w:t xml:space="preserve"> </w:t>
      </w:r>
      <w:r w:rsidR="00060715">
        <w:rPr>
          <w:rFonts w:ascii="Times New Roman" w:hAnsi="Times New Roman" w:cs="Times New Roman"/>
          <w:sz w:val="24"/>
          <w:szCs w:val="24"/>
        </w:rPr>
        <w:t>N</w:t>
      </w:r>
      <w:r w:rsidRPr="00C95C77">
        <w:rPr>
          <w:rFonts w:ascii="Times New Roman" w:hAnsi="Times New Roman" w:cs="Times New Roman"/>
          <w:sz w:val="24"/>
          <w:szCs w:val="24"/>
        </w:rPr>
        <w:t xml:space="preserve">el caso di alcune </w:t>
      </w:r>
      <w:r w:rsidR="00F77E94">
        <w:rPr>
          <w:rFonts w:ascii="Times New Roman" w:hAnsi="Times New Roman" w:cs="Times New Roman"/>
          <w:sz w:val="24"/>
          <w:szCs w:val="24"/>
        </w:rPr>
        <w:t xml:space="preserve">scuole gestite da </w:t>
      </w:r>
      <w:r w:rsidRPr="00C95C77">
        <w:rPr>
          <w:rFonts w:ascii="Times New Roman" w:hAnsi="Times New Roman" w:cs="Times New Roman"/>
          <w:sz w:val="24"/>
          <w:szCs w:val="24"/>
        </w:rPr>
        <w:t>congregazioni, però, questa voce di spesa si confonde spesso con altre che vanno a costituire il bilancio dell’intera</w:t>
      </w:r>
      <w:r w:rsidR="00F77E94">
        <w:rPr>
          <w:rFonts w:ascii="Times New Roman" w:hAnsi="Times New Roman" w:cs="Times New Roman"/>
          <w:sz w:val="24"/>
          <w:szCs w:val="24"/>
        </w:rPr>
        <w:t xml:space="preserve"> congregazione o casa religiosa</w:t>
      </w:r>
      <w:r w:rsidR="00976BE2">
        <w:rPr>
          <w:rFonts w:ascii="Times New Roman" w:hAnsi="Times New Roman" w:cs="Times New Roman"/>
          <w:sz w:val="24"/>
          <w:szCs w:val="24"/>
        </w:rPr>
        <w:t xml:space="preserve"> e dunque non emerge con evidenza</w:t>
      </w:r>
      <w:r w:rsidRPr="00C95C77">
        <w:rPr>
          <w:rFonts w:ascii="Times New Roman" w:hAnsi="Times New Roman" w:cs="Times New Roman"/>
          <w:sz w:val="24"/>
          <w:szCs w:val="24"/>
        </w:rPr>
        <w:t>.</w:t>
      </w:r>
      <w:r w:rsidR="00060715">
        <w:rPr>
          <w:rFonts w:ascii="Times New Roman" w:hAnsi="Times New Roman" w:cs="Times New Roman"/>
          <w:sz w:val="24"/>
          <w:szCs w:val="24"/>
        </w:rPr>
        <w:t xml:space="preserve"> Si può comunque stimare un costo medio </w:t>
      </w:r>
      <w:r w:rsidR="00002E6C">
        <w:rPr>
          <w:rFonts w:ascii="Times New Roman" w:hAnsi="Times New Roman" w:cs="Times New Roman"/>
          <w:sz w:val="24"/>
          <w:szCs w:val="24"/>
        </w:rPr>
        <w:t xml:space="preserve">per alunno </w:t>
      </w:r>
      <w:r w:rsidR="00060715">
        <w:rPr>
          <w:rFonts w:ascii="Times New Roman" w:hAnsi="Times New Roman" w:cs="Times New Roman"/>
          <w:sz w:val="24"/>
          <w:szCs w:val="24"/>
        </w:rPr>
        <w:t>di circa 3-4.000 euro annui a s</w:t>
      </w:r>
      <w:r w:rsidR="00060715">
        <w:rPr>
          <w:rFonts w:ascii="Times New Roman" w:hAnsi="Times New Roman" w:cs="Times New Roman"/>
          <w:sz w:val="24"/>
          <w:szCs w:val="24"/>
        </w:rPr>
        <w:t>e</w:t>
      </w:r>
      <w:r w:rsidR="00060715">
        <w:rPr>
          <w:rFonts w:ascii="Times New Roman" w:hAnsi="Times New Roman" w:cs="Times New Roman"/>
          <w:sz w:val="24"/>
          <w:szCs w:val="24"/>
        </w:rPr>
        <w:t>conda del livello scolastico e della tipologia organizzativa della scuola</w:t>
      </w:r>
      <w:r w:rsidR="00193BB8">
        <w:rPr>
          <w:rFonts w:ascii="Times New Roman" w:hAnsi="Times New Roman" w:cs="Times New Roman"/>
          <w:sz w:val="24"/>
          <w:szCs w:val="24"/>
        </w:rPr>
        <w:t xml:space="preserve"> (con o senza personale v</w:t>
      </w:r>
      <w:r w:rsidR="00193BB8">
        <w:rPr>
          <w:rFonts w:ascii="Times New Roman" w:hAnsi="Times New Roman" w:cs="Times New Roman"/>
          <w:sz w:val="24"/>
          <w:szCs w:val="24"/>
        </w:rPr>
        <w:t>o</w:t>
      </w:r>
      <w:r w:rsidR="00193BB8">
        <w:rPr>
          <w:rFonts w:ascii="Times New Roman" w:hAnsi="Times New Roman" w:cs="Times New Roman"/>
          <w:sz w:val="24"/>
          <w:szCs w:val="24"/>
        </w:rPr>
        <w:t>lontario, con o senza alunni disabili)</w:t>
      </w:r>
      <w:r w:rsidR="00060715">
        <w:rPr>
          <w:rFonts w:ascii="Times New Roman" w:hAnsi="Times New Roman" w:cs="Times New Roman"/>
          <w:sz w:val="24"/>
          <w:szCs w:val="24"/>
        </w:rPr>
        <w:t>.</w:t>
      </w:r>
    </w:p>
    <w:p w:rsidR="007E7DCC" w:rsidRPr="00C95C77" w:rsidRDefault="007E7DCC" w:rsidP="00587D0E">
      <w:pPr>
        <w:ind w:firstLine="708"/>
        <w:jc w:val="both"/>
        <w:rPr>
          <w:rFonts w:ascii="Times New Roman" w:hAnsi="Times New Roman" w:cs="Times New Roman"/>
          <w:sz w:val="24"/>
          <w:szCs w:val="24"/>
        </w:rPr>
      </w:pPr>
      <w:r w:rsidRPr="00C95C77">
        <w:rPr>
          <w:rFonts w:ascii="Times New Roman" w:hAnsi="Times New Roman" w:cs="Times New Roman"/>
          <w:sz w:val="24"/>
          <w:szCs w:val="24"/>
        </w:rPr>
        <w:t xml:space="preserve">Diversi studi hanno dimostrato da tempo (ma il fatto è anche intuitivo) che l’esistenza di una scuola non statale rappresenta un </w:t>
      </w:r>
      <w:r w:rsidRPr="00193BB8">
        <w:rPr>
          <w:rFonts w:ascii="Times New Roman" w:hAnsi="Times New Roman" w:cs="Times New Roman"/>
          <w:sz w:val="24"/>
          <w:szCs w:val="24"/>
        </w:rPr>
        <w:t>risparmio</w:t>
      </w:r>
      <w:r w:rsidRPr="00C95C77">
        <w:rPr>
          <w:rFonts w:ascii="Times New Roman" w:hAnsi="Times New Roman" w:cs="Times New Roman"/>
          <w:sz w:val="24"/>
          <w:szCs w:val="24"/>
        </w:rPr>
        <w:t xml:space="preserve"> per lo Stato e dunque, lungi dal costituire un onere, le </w:t>
      </w:r>
      <w:r w:rsidRPr="00C95C77">
        <w:rPr>
          <w:rFonts w:ascii="Times New Roman" w:hAnsi="Times New Roman" w:cs="Times New Roman"/>
          <w:sz w:val="24"/>
          <w:szCs w:val="24"/>
        </w:rPr>
        <w:lastRenderedPageBreak/>
        <w:t>scuole paritarie sono un beneficio per lo Stato, che dovrebbe essere interessato alla loro sopravv</w:t>
      </w:r>
      <w:r w:rsidRPr="00C95C77">
        <w:rPr>
          <w:rFonts w:ascii="Times New Roman" w:hAnsi="Times New Roman" w:cs="Times New Roman"/>
          <w:sz w:val="24"/>
          <w:szCs w:val="24"/>
        </w:rPr>
        <w:t>i</w:t>
      </w:r>
      <w:r w:rsidRPr="00C95C77">
        <w:rPr>
          <w:rFonts w:ascii="Times New Roman" w:hAnsi="Times New Roman" w:cs="Times New Roman"/>
          <w:sz w:val="24"/>
          <w:szCs w:val="24"/>
        </w:rPr>
        <w:t>venza e sostenerla adeguatamente quanto meno per conservare tale beneficio. Ci si divide però sull’entità d</w:t>
      </w:r>
      <w:r w:rsidR="001E0965">
        <w:rPr>
          <w:rFonts w:ascii="Times New Roman" w:hAnsi="Times New Roman" w:cs="Times New Roman"/>
          <w:sz w:val="24"/>
          <w:szCs w:val="24"/>
        </w:rPr>
        <w:t>el</w:t>
      </w:r>
      <w:r w:rsidRPr="00C95C77">
        <w:rPr>
          <w:rFonts w:ascii="Times New Roman" w:hAnsi="Times New Roman" w:cs="Times New Roman"/>
          <w:sz w:val="24"/>
          <w:szCs w:val="24"/>
        </w:rPr>
        <w:t xml:space="preserve"> risparmio</w:t>
      </w:r>
      <w:r w:rsidR="00F77E94">
        <w:rPr>
          <w:rFonts w:ascii="Times New Roman" w:hAnsi="Times New Roman" w:cs="Times New Roman"/>
          <w:sz w:val="24"/>
          <w:szCs w:val="24"/>
        </w:rPr>
        <w:t>.</w:t>
      </w:r>
      <w:r w:rsidRPr="00C95C77">
        <w:rPr>
          <w:rFonts w:ascii="Times New Roman" w:hAnsi="Times New Roman" w:cs="Times New Roman"/>
          <w:sz w:val="24"/>
          <w:szCs w:val="24"/>
        </w:rPr>
        <w:t xml:space="preserve"> L’unico dato certo è la differenza tra le </w:t>
      </w:r>
      <w:r w:rsidRPr="001E0965">
        <w:rPr>
          <w:rFonts w:ascii="Times New Roman" w:hAnsi="Times New Roman" w:cs="Times New Roman"/>
          <w:sz w:val="24"/>
          <w:szCs w:val="24"/>
        </w:rPr>
        <w:t>retribuzioni dei dipendenti</w:t>
      </w:r>
      <w:r w:rsidRPr="00C95C77">
        <w:rPr>
          <w:rFonts w:ascii="Times New Roman" w:hAnsi="Times New Roman" w:cs="Times New Roman"/>
          <w:sz w:val="24"/>
          <w:szCs w:val="24"/>
        </w:rPr>
        <w:t xml:space="preserve"> delle scuole statali e di quelle non statali, </w:t>
      </w:r>
      <w:r w:rsidR="00F77E94">
        <w:rPr>
          <w:rFonts w:ascii="Times New Roman" w:hAnsi="Times New Roman" w:cs="Times New Roman"/>
          <w:sz w:val="24"/>
          <w:szCs w:val="24"/>
        </w:rPr>
        <w:t xml:space="preserve">per le quali </w:t>
      </w:r>
      <w:r w:rsidRPr="00C95C77">
        <w:rPr>
          <w:rFonts w:ascii="Times New Roman" w:hAnsi="Times New Roman" w:cs="Times New Roman"/>
          <w:sz w:val="24"/>
          <w:szCs w:val="24"/>
        </w:rPr>
        <w:t xml:space="preserve">non sembra </w:t>
      </w:r>
      <w:r w:rsidR="00F77E94">
        <w:rPr>
          <w:rFonts w:ascii="Times New Roman" w:hAnsi="Times New Roman" w:cs="Times New Roman"/>
          <w:sz w:val="24"/>
          <w:szCs w:val="24"/>
        </w:rPr>
        <w:t xml:space="preserve">certo </w:t>
      </w:r>
      <w:r w:rsidRPr="00C95C77">
        <w:rPr>
          <w:rFonts w:ascii="Times New Roman" w:hAnsi="Times New Roman" w:cs="Times New Roman"/>
          <w:sz w:val="24"/>
          <w:szCs w:val="24"/>
        </w:rPr>
        <w:t>equo il dato obiettivo di contratti collettivi di lavoro che prevedono, a parità di funzioni e prestazioni, una retribuzione sensibilmente inferiore nella scuola non statale</w:t>
      </w:r>
      <w:r w:rsidR="00F77E94">
        <w:rPr>
          <w:rFonts w:ascii="Times New Roman" w:hAnsi="Times New Roman" w:cs="Times New Roman"/>
          <w:sz w:val="24"/>
          <w:szCs w:val="24"/>
        </w:rPr>
        <w:t xml:space="preserve"> e addirittura tra scuole dello stesso tipo ma </w:t>
      </w:r>
      <w:r w:rsidR="00EB6C14">
        <w:rPr>
          <w:rFonts w:ascii="Times New Roman" w:hAnsi="Times New Roman" w:cs="Times New Roman"/>
          <w:sz w:val="24"/>
          <w:szCs w:val="24"/>
        </w:rPr>
        <w:t>con diverse soluzioni contrattuali</w:t>
      </w:r>
      <w:r w:rsidR="00EB6C14">
        <w:rPr>
          <w:rStyle w:val="Rimandonotaapidipagina"/>
          <w:rFonts w:ascii="Times New Roman" w:hAnsi="Times New Roman" w:cs="Times New Roman"/>
          <w:sz w:val="24"/>
          <w:szCs w:val="24"/>
        </w:rPr>
        <w:footnoteReference w:id="4"/>
      </w:r>
      <w:r w:rsidRPr="00C95C77">
        <w:rPr>
          <w:rFonts w:ascii="Times New Roman" w:hAnsi="Times New Roman" w:cs="Times New Roman"/>
          <w:sz w:val="24"/>
          <w:szCs w:val="24"/>
        </w:rPr>
        <w:t>.</w:t>
      </w:r>
    </w:p>
    <w:p w:rsidR="00E10E2A" w:rsidRDefault="007E7DCC" w:rsidP="00587D0E">
      <w:pPr>
        <w:ind w:firstLine="708"/>
        <w:jc w:val="both"/>
        <w:rPr>
          <w:rFonts w:ascii="Times New Roman" w:hAnsi="Times New Roman" w:cs="Times New Roman"/>
          <w:sz w:val="24"/>
          <w:szCs w:val="24"/>
        </w:rPr>
      </w:pPr>
      <w:r w:rsidRPr="00C95C77">
        <w:rPr>
          <w:rFonts w:ascii="Times New Roman" w:hAnsi="Times New Roman" w:cs="Times New Roman"/>
          <w:sz w:val="24"/>
          <w:szCs w:val="24"/>
        </w:rPr>
        <w:t>In ogni caso, dispiace dover sostenere l’esistenza delle scuole paritarie unicamente con a</w:t>
      </w:r>
      <w:r w:rsidRPr="00C95C77">
        <w:rPr>
          <w:rFonts w:ascii="Times New Roman" w:hAnsi="Times New Roman" w:cs="Times New Roman"/>
          <w:sz w:val="24"/>
          <w:szCs w:val="24"/>
        </w:rPr>
        <w:t>r</w:t>
      </w:r>
      <w:r w:rsidRPr="00C95C77">
        <w:rPr>
          <w:rFonts w:ascii="Times New Roman" w:hAnsi="Times New Roman" w:cs="Times New Roman"/>
          <w:sz w:val="24"/>
          <w:szCs w:val="24"/>
        </w:rPr>
        <w:t xml:space="preserve">gomenti di carattere economico. Prima dell’utile dovrebbero venire i principi ed i valori che sono a fondamento dell’esistenza del servizio scolastico nel suo insieme. </w:t>
      </w:r>
      <w:r w:rsidR="007E5C23">
        <w:rPr>
          <w:rFonts w:ascii="Times New Roman" w:hAnsi="Times New Roman" w:cs="Times New Roman"/>
          <w:sz w:val="24"/>
          <w:szCs w:val="24"/>
        </w:rPr>
        <w:t>Al contrario, anche l’attenzione della giurisprudenza nazionale ed europea sull’argomento sembra concentrarsi più sugli aspetti ec</w:t>
      </w:r>
      <w:r w:rsidR="007E5C23">
        <w:rPr>
          <w:rFonts w:ascii="Times New Roman" w:hAnsi="Times New Roman" w:cs="Times New Roman"/>
          <w:sz w:val="24"/>
          <w:szCs w:val="24"/>
        </w:rPr>
        <w:t>o</w:t>
      </w:r>
      <w:r w:rsidR="007E5C23">
        <w:rPr>
          <w:rFonts w:ascii="Times New Roman" w:hAnsi="Times New Roman" w:cs="Times New Roman"/>
          <w:sz w:val="24"/>
          <w:szCs w:val="24"/>
        </w:rPr>
        <w:t>nomici che sui principi generali</w:t>
      </w:r>
      <w:r w:rsidR="007E5C23">
        <w:rPr>
          <w:rStyle w:val="Rimandonotaapidipagina"/>
          <w:rFonts w:ascii="Times New Roman" w:hAnsi="Times New Roman" w:cs="Times New Roman"/>
          <w:sz w:val="24"/>
          <w:szCs w:val="24"/>
        </w:rPr>
        <w:footnoteReference w:id="5"/>
      </w:r>
      <w:r w:rsidR="007E5C23">
        <w:rPr>
          <w:rFonts w:ascii="Times New Roman" w:hAnsi="Times New Roman" w:cs="Times New Roman"/>
          <w:sz w:val="24"/>
          <w:szCs w:val="24"/>
        </w:rPr>
        <w:t xml:space="preserve">, lasciati spesso alle dichiarazioni internazionali che unanimemente – ma senza essere ovunque ascoltate </w:t>
      </w:r>
      <w:r w:rsidR="00FD2A8F">
        <w:rPr>
          <w:rFonts w:ascii="Times New Roman" w:hAnsi="Times New Roman" w:cs="Times New Roman"/>
          <w:sz w:val="24"/>
          <w:szCs w:val="24"/>
        </w:rPr>
        <w:t>–</w:t>
      </w:r>
      <w:r w:rsidR="007E5C23">
        <w:rPr>
          <w:rFonts w:ascii="Times New Roman" w:hAnsi="Times New Roman" w:cs="Times New Roman"/>
          <w:sz w:val="24"/>
          <w:szCs w:val="24"/>
        </w:rPr>
        <w:t xml:space="preserve"> </w:t>
      </w:r>
      <w:r w:rsidR="00FD2A8F">
        <w:rPr>
          <w:rFonts w:ascii="Times New Roman" w:hAnsi="Times New Roman" w:cs="Times New Roman"/>
          <w:sz w:val="24"/>
          <w:szCs w:val="24"/>
        </w:rPr>
        <w:t>affermano la libertà di istruzione e di scelta educativa quale principio cardine di tutti i sistemi scolastici</w:t>
      </w:r>
      <w:r w:rsidR="00FD2A8F">
        <w:rPr>
          <w:rStyle w:val="Rimandonotaapidipagina"/>
          <w:rFonts w:ascii="Times New Roman" w:hAnsi="Times New Roman" w:cs="Times New Roman"/>
          <w:sz w:val="24"/>
          <w:szCs w:val="24"/>
        </w:rPr>
        <w:footnoteReference w:id="6"/>
      </w:r>
      <w:r w:rsidR="00FD2A8F">
        <w:rPr>
          <w:rFonts w:ascii="Times New Roman" w:hAnsi="Times New Roman" w:cs="Times New Roman"/>
          <w:sz w:val="24"/>
          <w:szCs w:val="24"/>
        </w:rPr>
        <w:t>.</w:t>
      </w:r>
    </w:p>
    <w:p w:rsidR="00314F34" w:rsidRDefault="00314F34" w:rsidP="00587D0E">
      <w:pPr>
        <w:jc w:val="both"/>
        <w:rPr>
          <w:rFonts w:ascii="Times New Roman" w:hAnsi="Times New Roman" w:cs="Times New Roman"/>
          <w:sz w:val="24"/>
          <w:szCs w:val="24"/>
        </w:rPr>
      </w:pPr>
    </w:p>
    <w:p w:rsidR="00314F34" w:rsidRPr="00314F34" w:rsidRDefault="00314F34" w:rsidP="00587D0E">
      <w:pPr>
        <w:jc w:val="both"/>
        <w:rPr>
          <w:rFonts w:ascii="Times New Roman" w:hAnsi="Times New Roman" w:cs="Times New Roman"/>
          <w:i/>
          <w:sz w:val="24"/>
          <w:szCs w:val="24"/>
        </w:rPr>
      </w:pPr>
      <w:r w:rsidRPr="00314F34">
        <w:rPr>
          <w:rFonts w:ascii="Times New Roman" w:hAnsi="Times New Roman" w:cs="Times New Roman"/>
          <w:i/>
          <w:sz w:val="24"/>
          <w:szCs w:val="24"/>
        </w:rPr>
        <w:t>4. I principi di riferimento</w:t>
      </w:r>
    </w:p>
    <w:p w:rsidR="00314F34" w:rsidRDefault="00314F34" w:rsidP="00587D0E">
      <w:pPr>
        <w:jc w:val="both"/>
        <w:rPr>
          <w:rFonts w:ascii="Times New Roman" w:hAnsi="Times New Roman" w:cs="Times New Roman"/>
          <w:sz w:val="24"/>
          <w:szCs w:val="24"/>
        </w:rPr>
      </w:pPr>
    </w:p>
    <w:p w:rsidR="007E7DCC" w:rsidRPr="00C95C77" w:rsidRDefault="007E7DCC" w:rsidP="00587D0E">
      <w:pPr>
        <w:ind w:firstLine="708"/>
        <w:jc w:val="both"/>
        <w:rPr>
          <w:rFonts w:ascii="Times New Roman" w:hAnsi="Times New Roman" w:cs="Times New Roman"/>
          <w:sz w:val="24"/>
          <w:szCs w:val="24"/>
        </w:rPr>
      </w:pPr>
      <w:r w:rsidRPr="002E3235">
        <w:rPr>
          <w:rFonts w:ascii="Times New Roman" w:hAnsi="Times New Roman" w:cs="Times New Roman"/>
          <w:sz w:val="24"/>
          <w:szCs w:val="24"/>
        </w:rPr>
        <w:t>Sul piano valoriale</w:t>
      </w:r>
      <w:r w:rsidR="00FD2A8F">
        <w:rPr>
          <w:rFonts w:ascii="Times New Roman" w:hAnsi="Times New Roman" w:cs="Times New Roman"/>
          <w:sz w:val="24"/>
          <w:szCs w:val="24"/>
        </w:rPr>
        <w:t>, dunque, dovrebbe essere chiaro che</w:t>
      </w:r>
      <w:r>
        <w:rPr>
          <w:rFonts w:ascii="Times New Roman" w:hAnsi="Times New Roman" w:cs="Times New Roman"/>
          <w:sz w:val="24"/>
          <w:szCs w:val="24"/>
        </w:rPr>
        <w:t xml:space="preserve"> </w:t>
      </w:r>
      <w:r w:rsidR="00FD2A8F">
        <w:rPr>
          <w:rFonts w:ascii="Times New Roman" w:hAnsi="Times New Roman" w:cs="Times New Roman"/>
          <w:sz w:val="24"/>
          <w:szCs w:val="24"/>
        </w:rPr>
        <w:t>n</w:t>
      </w:r>
      <w:r>
        <w:rPr>
          <w:rFonts w:ascii="Times New Roman" w:hAnsi="Times New Roman" w:cs="Times New Roman"/>
          <w:sz w:val="24"/>
          <w:szCs w:val="24"/>
        </w:rPr>
        <w:t>on si può f</w:t>
      </w:r>
      <w:r w:rsidRPr="00C95C77">
        <w:rPr>
          <w:rFonts w:ascii="Times New Roman" w:hAnsi="Times New Roman" w:cs="Times New Roman"/>
          <w:sz w:val="24"/>
          <w:szCs w:val="24"/>
        </w:rPr>
        <w:t xml:space="preserve">are educazione se non in un contesto di libertà e con il fine di promuovere la libertà della persona. La Costituzione </w:t>
      </w:r>
      <w:r w:rsidR="00FD2A8F">
        <w:rPr>
          <w:rFonts w:ascii="Times New Roman" w:hAnsi="Times New Roman" w:cs="Times New Roman"/>
          <w:sz w:val="24"/>
          <w:szCs w:val="24"/>
        </w:rPr>
        <w:t xml:space="preserve">italiana </w:t>
      </w:r>
      <w:r w:rsidRPr="00C95C77">
        <w:rPr>
          <w:rFonts w:ascii="Times New Roman" w:hAnsi="Times New Roman" w:cs="Times New Roman"/>
          <w:sz w:val="24"/>
          <w:szCs w:val="24"/>
        </w:rPr>
        <w:t>esprime questa posizione con il principio della libertà di insegnamento, con cui si apre l’art. 33, fi</w:t>
      </w:r>
      <w:r w:rsidRPr="00C95C77">
        <w:rPr>
          <w:rFonts w:ascii="Times New Roman" w:hAnsi="Times New Roman" w:cs="Times New Roman"/>
          <w:sz w:val="24"/>
          <w:szCs w:val="24"/>
        </w:rPr>
        <w:t>s</w:t>
      </w:r>
      <w:r w:rsidRPr="00C95C77">
        <w:rPr>
          <w:rFonts w:ascii="Times New Roman" w:hAnsi="Times New Roman" w:cs="Times New Roman"/>
          <w:sz w:val="24"/>
          <w:szCs w:val="24"/>
        </w:rPr>
        <w:t>sando in esso il motivo ispiratore d</w:t>
      </w:r>
      <w:r>
        <w:rPr>
          <w:rFonts w:ascii="Times New Roman" w:hAnsi="Times New Roman" w:cs="Times New Roman"/>
          <w:sz w:val="24"/>
          <w:szCs w:val="24"/>
        </w:rPr>
        <w:t>i tutto i</w:t>
      </w:r>
      <w:r w:rsidRPr="00C95C77">
        <w:rPr>
          <w:rFonts w:ascii="Times New Roman" w:hAnsi="Times New Roman" w:cs="Times New Roman"/>
          <w:sz w:val="24"/>
          <w:szCs w:val="24"/>
        </w:rPr>
        <w:t>l sistema scolastico</w:t>
      </w:r>
      <w:r w:rsidR="00002E6C">
        <w:rPr>
          <w:rFonts w:ascii="Times New Roman" w:hAnsi="Times New Roman" w:cs="Times New Roman"/>
          <w:sz w:val="24"/>
          <w:szCs w:val="24"/>
        </w:rPr>
        <w:t>,</w:t>
      </w:r>
      <w:r w:rsidRPr="00C95C77">
        <w:rPr>
          <w:rFonts w:ascii="Times New Roman" w:hAnsi="Times New Roman" w:cs="Times New Roman"/>
          <w:sz w:val="24"/>
          <w:szCs w:val="24"/>
        </w:rPr>
        <w:t xml:space="preserve"> trattato nel medesimo articolo.</w:t>
      </w:r>
    </w:p>
    <w:p w:rsidR="007E7DCC" w:rsidRDefault="007E7DCC" w:rsidP="00587D0E">
      <w:pPr>
        <w:ind w:firstLine="708"/>
        <w:jc w:val="both"/>
        <w:rPr>
          <w:rFonts w:ascii="Times New Roman" w:hAnsi="Times New Roman" w:cs="Times New Roman"/>
          <w:sz w:val="24"/>
          <w:szCs w:val="24"/>
        </w:rPr>
      </w:pPr>
      <w:r w:rsidRPr="00C95C77">
        <w:rPr>
          <w:rFonts w:ascii="Times New Roman" w:hAnsi="Times New Roman" w:cs="Times New Roman"/>
          <w:sz w:val="24"/>
          <w:szCs w:val="24"/>
        </w:rPr>
        <w:t>Da questo punto di vista</w:t>
      </w:r>
      <w:r w:rsidR="002E3235">
        <w:rPr>
          <w:rFonts w:ascii="Times New Roman" w:hAnsi="Times New Roman" w:cs="Times New Roman"/>
          <w:sz w:val="24"/>
          <w:szCs w:val="24"/>
        </w:rPr>
        <w:t>,</w:t>
      </w:r>
      <w:r w:rsidRPr="00C95C77">
        <w:rPr>
          <w:rFonts w:ascii="Times New Roman" w:hAnsi="Times New Roman" w:cs="Times New Roman"/>
          <w:sz w:val="24"/>
          <w:szCs w:val="24"/>
        </w:rPr>
        <w:t xml:space="preserve"> per la scuola cattolica si sommano </w:t>
      </w:r>
      <w:r w:rsidRPr="001E0965">
        <w:rPr>
          <w:rFonts w:ascii="Times New Roman" w:hAnsi="Times New Roman" w:cs="Times New Roman"/>
          <w:sz w:val="24"/>
          <w:szCs w:val="24"/>
        </w:rPr>
        <w:t>due libertà</w:t>
      </w:r>
      <w:r w:rsidRPr="00C95C77">
        <w:rPr>
          <w:rFonts w:ascii="Times New Roman" w:hAnsi="Times New Roman" w:cs="Times New Roman"/>
          <w:sz w:val="24"/>
          <w:szCs w:val="24"/>
        </w:rPr>
        <w:t xml:space="preserve"> diverse</w:t>
      </w:r>
      <w:r w:rsidR="00976BE2">
        <w:rPr>
          <w:rFonts w:ascii="Times New Roman" w:hAnsi="Times New Roman" w:cs="Times New Roman"/>
          <w:sz w:val="24"/>
          <w:szCs w:val="24"/>
        </w:rPr>
        <w:t xml:space="preserve"> e compl</w:t>
      </w:r>
      <w:r w:rsidR="00976BE2">
        <w:rPr>
          <w:rFonts w:ascii="Times New Roman" w:hAnsi="Times New Roman" w:cs="Times New Roman"/>
          <w:sz w:val="24"/>
          <w:szCs w:val="24"/>
        </w:rPr>
        <w:t>e</w:t>
      </w:r>
      <w:r w:rsidR="00976BE2">
        <w:rPr>
          <w:rFonts w:ascii="Times New Roman" w:hAnsi="Times New Roman" w:cs="Times New Roman"/>
          <w:sz w:val="24"/>
          <w:szCs w:val="24"/>
        </w:rPr>
        <w:t>mentari</w:t>
      </w:r>
      <w:r w:rsidRPr="00C95C77">
        <w:rPr>
          <w:rFonts w:ascii="Times New Roman" w:hAnsi="Times New Roman" w:cs="Times New Roman"/>
          <w:sz w:val="24"/>
          <w:szCs w:val="24"/>
        </w:rPr>
        <w:t>: da un lato quella di qualsiasi soggetto, pubblico o privato, di istituire scuole e istituti di educazione; dall’altro quella più specifica di svolgere la propria missione anche in ambito scolastico (come è stato per secoli). In questa prospettiva si può quindi tentare di ricostruire la “catena del v</w:t>
      </w:r>
      <w:r w:rsidRPr="00C95C77">
        <w:rPr>
          <w:rFonts w:ascii="Times New Roman" w:hAnsi="Times New Roman" w:cs="Times New Roman"/>
          <w:sz w:val="24"/>
          <w:szCs w:val="24"/>
        </w:rPr>
        <w:t>a</w:t>
      </w:r>
      <w:r w:rsidRPr="00C95C77">
        <w:rPr>
          <w:rFonts w:ascii="Times New Roman" w:hAnsi="Times New Roman" w:cs="Times New Roman"/>
          <w:sz w:val="24"/>
          <w:szCs w:val="24"/>
        </w:rPr>
        <w:t>lore” della scuola cattolica, evidenziando il contributo che essa può offrire ai destinatari del suo se</w:t>
      </w:r>
      <w:r w:rsidRPr="00C95C77">
        <w:rPr>
          <w:rFonts w:ascii="Times New Roman" w:hAnsi="Times New Roman" w:cs="Times New Roman"/>
          <w:sz w:val="24"/>
          <w:szCs w:val="24"/>
        </w:rPr>
        <w:t>r</w:t>
      </w:r>
      <w:r w:rsidRPr="00C95C77">
        <w:rPr>
          <w:rFonts w:ascii="Times New Roman" w:hAnsi="Times New Roman" w:cs="Times New Roman"/>
          <w:sz w:val="24"/>
          <w:szCs w:val="24"/>
        </w:rPr>
        <w:t>vizio (alunni e genitori, ma anche insegnanti e territorio) in termini di qualità degli apprendimenti e della proposta educativa nel suo insieme</w:t>
      </w:r>
      <w:r w:rsidR="00EB6C14">
        <w:rPr>
          <w:rStyle w:val="Rimandonotaapidipagina"/>
          <w:rFonts w:ascii="Times New Roman" w:hAnsi="Times New Roman" w:cs="Times New Roman"/>
          <w:sz w:val="24"/>
          <w:szCs w:val="24"/>
        </w:rPr>
        <w:footnoteReference w:id="7"/>
      </w:r>
      <w:r w:rsidRPr="00C95C77">
        <w:rPr>
          <w:rFonts w:ascii="Times New Roman" w:hAnsi="Times New Roman" w:cs="Times New Roman"/>
          <w:sz w:val="24"/>
          <w:szCs w:val="24"/>
        </w:rPr>
        <w:t xml:space="preserve">. Non esistono solo i </w:t>
      </w:r>
      <w:r w:rsidRPr="001E0965">
        <w:rPr>
          <w:rFonts w:ascii="Times New Roman" w:hAnsi="Times New Roman" w:cs="Times New Roman"/>
          <w:sz w:val="24"/>
          <w:szCs w:val="24"/>
        </w:rPr>
        <w:t>risultati materiali</w:t>
      </w:r>
      <w:r w:rsidRPr="00C95C77">
        <w:rPr>
          <w:rFonts w:ascii="Times New Roman" w:hAnsi="Times New Roman" w:cs="Times New Roman"/>
          <w:sz w:val="24"/>
          <w:szCs w:val="24"/>
        </w:rPr>
        <w:t xml:space="preserve"> (misurati in termini di esiti scolastici), ma anche </w:t>
      </w:r>
      <w:r w:rsidR="001E0965">
        <w:rPr>
          <w:rFonts w:ascii="Times New Roman" w:hAnsi="Times New Roman" w:cs="Times New Roman"/>
          <w:sz w:val="24"/>
          <w:szCs w:val="24"/>
        </w:rPr>
        <w:t xml:space="preserve">gli </w:t>
      </w:r>
      <w:r w:rsidRPr="001E0965">
        <w:rPr>
          <w:rFonts w:ascii="Times New Roman" w:hAnsi="Times New Roman" w:cs="Times New Roman"/>
          <w:sz w:val="24"/>
          <w:szCs w:val="24"/>
        </w:rPr>
        <w:t xml:space="preserve">effetti </w:t>
      </w:r>
      <w:r w:rsidR="00217391">
        <w:rPr>
          <w:rFonts w:ascii="Times New Roman" w:hAnsi="Times New Roman" w:cs="Times New Roman"/>
          <w:sz w:val="24"/>
          <w:szCs w:val="24"/>
        </w:rPr>
        <w:t xml:space="preserve">educativi </w:t>
      </w:r>
      <w:r w:rsidRPr="001E0965">
        <w:rPr>
          <w:rFonts w:ascii="Times New Roman" w:hAnsi="Times New Roman" w:cs="Times New Roman"/>
          <w:sz w:val="24"/>
          <w:szCs w:val="24"/>
        </w:rPr>
        <w:t>immateriali</w:t>
      </w:r>
      <w:r w:rsidR="00217391">
        <w:rPr>
          <w:rFonts w:ascii="Times New Roman" w:hAnsi="Times New Roman" w:cs="Times New Roman"/>
          <w:sz w:val="24"/>
          <w:szCs w:val="24"/>
        </w:rPr>
        <w:t>, che tendono a migliorare gli stessi r</w:t>
      </w:r>
      <w:r w:rsidR="00217391">
        <w:rPr>
          <w:rFonts w:ascii="Times New Roman" w:hAnsi="Times New Roman" w:cs="Times New Roman"/>
          <w:sz w:val="24"/>
          <w:szCs w:val="24"/>
        </w:rPr>
        <w:t>i</w:t>
      </w:r>
      <w:r w:rsidR="00217391">
        <w:rPr>
          <w:rFonts w:ascii="Times New Roman" w:hAnsi="Times New Roman" w:cs="Times New Roman"/>
          <w:sz w:val="24"/>
          <w:szCs w:val="24"/>
        </w:rPr>
        <w:t>sultati scolastici grazie alla loro intrinseca carica motivazionale e che discendono</w:t>
      </w:r>
      <w:r w:rsidRPr="00C95C77">
        <w:rPr>
          <w:rFonts w:ascii="Times New Roman" w:hAnsi="Times New Roman" w:cs="Times New Roman"/>
          <w:sz w:val="24"/>
          <w:szCs w:val="24"/>
        </w:rPr>
        <w:t xml:space="preserve"> dal contributo </w:t>
      </w:r>
      <w:r w:rsidR="00217391">
        <w:rPr>
          <w:rFonts w:ascii="Times New Roman" w:hAnsi="Times New Roman" w:cs="Times New Roman"/>
          <w:sz w:val="24"/>
          <w:szCs w:val="24"/>
        </w:rPr>
        <w:t>o</w:t>
      </w:r>
      <w:r w:rsidR="00217391">
        <w:rPr>
          <w:rFonts w:ascii="Times New Roman" w:hAnsi="Times New Roman" w:cs="Times New Roman"/>
          <w:sz w:val="24"/>
          <w:szCs w:val="24"/>
        </w:rPr>
        <w:t>f</w:t>
      </w:r>
      <w:r w:rsidR="00217391">
        <w:rPr>
          <w:rFonts w:ascii="Times New Roman" w:hAnsi="Times New Roman" w:cs="Times New Roman"/>
          <w:sz w:val="24"/>
          <w:szCs w:val="24"/>
        </w:rPr>
        <w:t xml:space="preserve">ferto </w:t>
      </w:r>
      <w:r w:rsidRPr="00C95C77">
        <w:rPr>
          <w:rFonts w:ascii="Times New Roman" w:hAnsi="Times New Roman" w:cs="Times New Roman"/>
          <w:sz w:val="24"/>
          <w:szCs w:val="24"/>
        </w:rPr>
        <w:t>d</w:t>
      </w:r>
      <w:r w:rsidR="00217391">
        <w:rPr>
          <w:rFonts w:ascii="Times New Roman" w:hAnsi="Times New Roman" w:cs="Times New Roman"/>
          <w:sz w:val="24"/>
          <w:szCs w:val="24"/>
        </w:rPr>
        <w:t>a</w:t>
      </w:r>
      <w:r w:rsidRPr="00C95C77">
        <w:rPr>
          <w:rFonts w:ascii="Times New Roman" w:hAnsi="Times New Roman" w:cs="Times New Roman"/>
          <w:sz w:val="24"/>
          <w:szCs w:val="24"/>
        </w:rPr>
        <w:t xml:space="preserve"> un soggetto ecclesiale complesso alla società </w:t>
      </w:r>
      <w:r w:rsidR="00217391">
        <w:rPr>
          <w:rFonts w:ascii="Times New Roman" w:hAnsi="Times New Roman" w:cs="Times New Roman"/>
          <w:sz w:val="24"/>
          <w:szCs w:val="24"/>
        </w:rPr>
        <w:t>oltre che alle singole person</w:t>
      </w:r>
      <w:r w:rsidRPr="00C95C77">
        <w:rPr>
          <w:rFonts w:ascii="Times New Roman" w:hAnsi="Times New Roman" w:cs="Times New Roman"/>
          <w:sz w:val="24"/>
          <w:szCs w:val="24"/>
        </w:rPr>
        <w:t xml:space="preserve">e (e non si parla qui semplicemente dello stimolo derivante dalla presenza di più enti in concorrenza tra loro, che già dovrebbe essere da sola un fattore di qualità e di incentivo al miglioramento del servizio). </w:t>
      </w:r>
      <w:r w:rsidR="00E10E2A">
        <w:rPr>
          <w:rFonts w:ascii="Times New Roman" w:hAnsi="Times New Roman" w:cs="Times New Roman"/>
          <w:sz w:val="24"/>
          <w:szCs w:val="24"/>
        </w:rPr>
        <w:t>Rimane infatti fondamentale il radicamento di una scuola all’interno di una comunità di cui possa essere a</w:t>
      </w:r>
      <w:r w:rsidR="00E10E2A">
        <w:rPr>
          <w:rFonts w:ascii="Times New Roman" w:hAnsi="Times New Roman" w:cs="Times New Roman"/>
          <w:sz w:val="24"/>
          <w:szCs w:val="24"/>
        </w:rPr>
        <w:t>u</w:t>
      </w:r>
      <w:r w:rsidR="00E10E2A">
        <w:rPr>
          <w:rFonts w:ascii="Times New Roman" w:hAnsi="Times New Roman" w:cs="Times New Roman"/>
          <w:sz w:val="24"/>
          <w:szCs w:val="24"/>
        </w:rPr>
        <w:t>tentica espressione per poter essere convinto e convincente luogo di formazione umana e sociale</w:t>
      </w:r>
      <w:r w:rsidR="00E10E2A">
        <w:rPr>
          <w:rStyle w:val="Rimandonotaapidipagina"/>
          <w:rFonts w:ascii="Times New Roman" w:hAnsi="Times New Roman" w:cs="Times New Roman"/>
          <w:sz w:val="24"/>
          <w:szCs w:val="24"/>
        </w:rPr>
        <w:footnoteReference w:id="8"/>
      </w:r>
      <w:r w:rsidR="00E10E2A">
        <w:rPr>
          <w:rFonts w:ascii="Times New Roman" w:hAnsi="Times New Roman" w:cs="Times New Roman"/>
          <w:sz w:val="24"/>
          <w:szCs w:val="24"/>
        </w:rPr>
        <w:t>.</w:t>
      </w:r>
    </w:p>
    <w:p w:rsidR="00166650" w:rsidRDefault="001E0965" w:rsidP="00587D0E">
      <w:pPr>
        <w:ind w:firstLine="709"/>
        <w:jc w:val="both"/>
        <w:rPr>
          <w:rFonts w:ascii="Times New Roman" w:hAnsi="Times New Roman" w:cs="Times New Roman"/>
          <w:sz w:val="24"/>
          <w:szCs w:val="24"/>
        </w:rPr>
      </w:pPr>
      <w:r>
        <w:rPr>
          <w:rFonts w:ascii="Times New Roman" w:hAnsi="Times New Roman" w:cs="Times New Roman"/>
          <w:sz w:val="24"/>
          <w:szCs w:val="24"/>
        </w:rPr>
        <w:t>Tutte queste considerazioni rispecchiano l’assetto che si è dato da circa vent’anni il sistema nazionale di istruzione in termini di autonomia: non un apparato che si muove dal centro alla perif</w:t>
      </w:r>
      <w:r>
        <w:rPr>
          <w:rFonts w:ascii="Times New Roman" w:hAnsi="Times New Roman" w:cs="Times New Roman"/>
          <w:sz w:val="24"/>
          <w:szCs w:val="24"/>
        </w:rPr>
        <w:t>e</w:t>
      </w:r>
      <w:r>
        <w:rPr>
          <w:rFonts w:ascii="Times New Roman" w:hAnsi="Times New Roman" w:cs="Times New Roman"/>
          <w:sz w:val="24"/>
          <w:szCs w:val="24"/>
        </w:rPr>
        <w:t xml:space="preserve">ria ma una rete di realtà locali che dal basso dovrebbero dar vita al sistema. </w:t>
      </w:r>
      <w:r w:rsidR="002E3235">
        <w:rPr>
          <w:rFonts w:ascii="Times New Roman" w:hAnsi="Times New Roman" w:cs="Times New Roman"/>
          <w:sz w:val="24"/>
          <w:szCs w:val="24"/>
        </w:rPr>
        <w:t>L</w:t>
      </w:r>
      <w:r>
        <w:rPr>
          <w:rFonts w:ascii="Times New Roman" w:hAnsi="Times New Roman" w:cs="Times New Roman"/>
          <w:sz w:val="24"/>
          <w:szCs w:val="24"/>
        </w:rPr>
        <w:t xml:space="preserve">a parità è </w:t>
      </w:r>
      <w:r w:rsidR="002E3235">
        <w:rPr>
          <w:rFonts w:ascii="Times New Roman" w:hAnsi="Times New Roman" w:cs="Times New Roman"/>
          <w:sz w:val="24"/>
          <w:szCs w:val="24"/>
        </w:rPr>
        <w:t xml:space="preserve">allora </w:t>
      </w:r>
      <w:r>
        <w:rPr>
          <w:rFonts w:ascii="Times New Roman" w:hAnsi="Times New Roman" w:cs="Times New Roman"/>
          <w:sz w:val="24"/>
          <w:szCs w:val="24"/>
        </w:rPr>
        <w:t>il n</w:t>
      </w:r>
      <w:r>
        <w:rPr>
          <w:rFonts w:ascii="Times New Roman" w:hAnsi="Times New Roman" w:cs="Times New Roman"/>
          <w:sz w:val="24"/>
          <w:szCs w:val="24"/>
        </w:rPr>
        <w:t>e</w:t>
      </w:r>
      <w:r>
        <w:rPr>
          <w:rFonts w:ascii="Times New Roman" w:hAnsi="Times New Roman" w:cs="Times New Roman"/>
          <w:sz w:val="24"/>
          <w:szCs w:val="24"/>
        </w:rPr>
        <w:t xml:space="preserve">cessario complemento </w:t>
      </w:r>
      <w:r w:rsidR="002E3235">
        <w:rPr>
          <w:rFonts w:ascii="Times New Roman" w:hAnsi="Times New Roman" w:cs="Times New Roman"/>
          <w:sz w:val="24"/>
          <w:szCs w:val="24"/>
        </w:rPr>
        <w:t>de</w:t>
      </w:r>
      <w:r>
        <w:rPr>
          <w:rFonts w:ascii="Times New Roman" w:hAnsi="Times New Roman" w:cs="Times New Roman"/>
          <w:sz w:val="24"/>
          <w:szCs w:val="24"/>
        </w:rPr>
        <w:t>ll’autonomia</w:t>
      </w:r>
      <w:r w:rsidR="00217391">
        <w:rPr>
          <w:rFonts w:ascii="Times New Roman" w:hAnsi="Times New Roman" w:cs="Times New Roman"/>
          <w:sz w:val="24"/>
          <w:szCs w:val="24"/>
        </w:rPr>
        <w:t>, al punto che</w:t>
      </w:r>
      <w:r w:rsidR="002E3235">
        <w:rPr>
          <w:rFonts w:ascii="Times New Roman" w:hAnsi="Times New Roman" w:cs="Times New Roman"/>
          <w:sz w:val="24"/>
          <w:szCs w:val="24"/>
        </w:rPr>
        <w:t>,</w:t>
      </w:r>
      <w:r>
        <w:rPr>
          <w:rFonts w:ascii="Times New Roman" w:hAnsi="Times New Roman" w:cs="Times New Roman"/>
          <w:sz w:val="24"/>
          <w:szCs w:val="24"/>
        </w:rPr>
        <w:t xml:space="preserve"> per certi aspetti</w:t>
      </w:r>
      <w:r w:rsidR="002E3235">
        <w:rPr>
          <w:rFonts w:ascii="Times New Roman" w:hAnsi="Times New Roman" w:cs="Times New Roman"/>
          <w:sz w:val="24"/>
          <w:szCs w:val="24"/>
        </w:rPr>
        <w:t>,</w:t>
      </w:r>
      <w:r>
        <w:rPr>
          <w:rFonts w:ascii="Times New Roman" w:hAnsi="Times New Roman" w:cs="Times New Roman"/>
          <w:sz w:val="24"/>
          <w:szCs w:val="24"/>
        </w:rPr>
        <w:t xml:space="preserve"> è difficile dire quale delle due </w:t>
      </w:r>
      <w:r w:rsidR="00166650">
        <w:rPr>
          <w:rFonts w:ascii="Times New Roman" w:hAnsi="Times New Roman" w:cs="Times New Roman"/>
          <w:sz w:val="24"/>
          <w:szCs w:val="24"/>
        </w:rPr>
        <w:t>venga per prima, dato che le scuole paritarie sono da sempre autonome per loro natura</w:t>
      </w:r>
      <w:r w:rsidR="00166650">
        <w:rPr>
          <w:rStyle w:val="Rimandonotaapidipagina"/>
          <w:rFonts w:ascii="Times New Roman" w:hAnsi="Times New Roman" w:cs="Times New Roman"/>
          <w:sz w:val="24"/>
          <w:szCs w:val="24"/>
        </w:rPr>
        <w:footnoteReference w:id="9"/>
      </w:r>
      <w:r w:rsidR="00166650">
        <w:rPr>
          <w:rFonts w:ascii="Times New Roman" w:hAnsi="Times New Roman" w:cs="Times New Roman"/>
          <w:sz w:val="24"/>
          <w:szCs w:val="24"/>
        </w:rPr>
        <w:t xml:space="preserve">. Come per la parità, purtroppo, anche l’autonomia risulta essere oggi una realtà incompiuta. La scuola italiana è stata interessata da un lunga (forse troppo) stagione di riforme, nella quale solo in parte si è saputo far tesoro dei suggerimenti delle sedi internazionali che invitano da tempo a superare il modello </w:t>
      </w:r>
      <w:r w:rsidR="00166650">
        <w:rPr>
          <w:rFonts w:ascii="Times New Roman" w:hAnsi="Times New Roman" w:cs="Times New Roman"/>
          <w:sz w:val="24"/>
          <w:szCs w:val="24"/>
        </w:rPr>
        <w:lastRenderedPageBreak/>
        <w:t>centralistico e a spostare l’attenzione dal controllo organizzativo/gestionale alla qualità del servizio e soprattutto alla qualità dell’apprendimento</w:t>
      </w:r>
      <w:r w:rsidR="00166650">
        <w:rPr>
          <w:rStyle w:val="Rimandonotaapidipagina"/>
          <w:rFonts w:ascii="Times New Roman" w:hAnsi="Times New Roman" w:cs="Times New Roman"/>
          <w:sz w:val="24"/>
          <w:szCs w:val="24"/>
        </w:rPr>
        <w:footnoteReference w:id="10"/>
      </w:r>
      <w:r w:rsidR="00166650">
        <w:rPr>
          <w:rFonts w:ascii="Times New Roman" w:hAnsi="Times New Roman" w:cs="Times New Roman"/>
          <w:sz w:val="24"/>
          <w:szCs w:val="24"/>
        </w:rPr>
        <w:t xml:space="preserve">. </w:t>
      </w:r>
    </w:p>
    <w:p w:rsidR="00166650" w:rsidRDefault="00166650" w:rsidP="00587D0E">
      <w:pPr>
        <w:ind w:firstLine="709"/>
        <w:jc w:val="both"/>
        <w:rPr>
          <w:rFonts w:ascii="Times New Roman" w:hAnsi="Times New Roman" w:cs="Times New Roman"/>
          <w:sz w:val="24"/>
          <w:szCs w:val="24"/>
        </w:rPr>
      </w:pPr>
      <w:r>
        <w:rPr>
          <w:rFonts w:ascii="Times New Roman" w:hAnsi="Times New Roman" w:cs="Times New Roman"/>
          <w:sz w:val="24"/>
          <w:szCs w:val="24"/>
        </w:rPr>
        <w:t>Il confronto internazionale addita con chiarezza la strada di una vera e profonda autonomia delle scuole, capaci di essere espressione del loro territorio e quindi della domanda educativa delle famiglie. Il medesimo confronto internazionale mostra anche come la pluralità di soggetti promotori di scuole sia la regola in Europa</w:t>
      </w:r>
      <w:r w:rsidR="002E3235">
        <w:rPr>
          <w:rFonts w:ascii="Times New Roman" w:hAnsi="Times New Roman" w:cs="Times New Roman"/>
          <w:sz w:val="24"/>
          <w:szCs w:val="24"/>
        </w:rPr>
        <w:t>, in esecuzione</w:t>
      </w:r>
      <w:r>
        <w:rPr>
          <w:rFonts w:ascii="Times New Roman" w:hAnsi="Times New Roman" w:cs="Times New Roman"/>
          <w:sz w:val="24"/>
          <w:szCs w:val="24"/>
        </w:rPr>
        <w:t xml:space="preserve"> delle raccomandazioni delle istituzioni europee</w:t>
      </w:r>
      <w:r>
        <w:rPr>
          <w:rStyle w:val="Rimandonotaapidipagina"/>
          <w:rFonts w:ascii="Times New Roman" w:hAnsi="Times New Roman" w:cs="Times New Roman"/>
          <w:sz w:val="24"/>
          <w:szCs w:val="24"/>
        </w:rPr>
        <w:footnoteReference w:id="11"/>
      </w:r>
      <w:r w:rsidR="00FD2A8F">
        <w:rPr>
          <w:rFonts w:ascii="Times New Roman" w:hAnsi="Times New Roman" w:cs="Times New Roman"/>
          <w:sz w:val="24"/>
          <w:szCs w:val="24"/>
        </w:rPr>
        <w:t xml:space="preserve">. </w:t>
      </w:r>
      <w:r>
        <w:rPr>
          <w:rFonts w:ascii="Times New Roman" w:hAnsi="Times New Roman" w:cs="Times New Roman"/>
          <w:sz w:val="24"/>
          <w:szCs w:val="24"/>
        </w:rPr>
        <w:t>Il caso italiano è emblematico, e pressoché unico in Europa, di un sistema teoricamente aperto e pl</w:t>
      </w:r>
      <w:r>
        <w:rPr>
          <w:rFonts w:ascii="Times New Roman" w:hAnsi="Times New Roman" w:cs="Times New Roman"/>
          <w:sz w:val="24"/>
          <w:szCs w:val="24"/>
        </w:rPr>
        <w:t>u</w:t>
      </w:r>
      <w:r>
        <w:rPr>
          <w:rFonts w:ascii="Times New Roman" w:hAnsi="Times New Roman" w:cs="Times New Roman"/>
          <w:sz w:val="24"/>
          <w:szCs w:val="24"/>
        </w:rPr>
        <w:t xml:space="preserve">rale ma praticamente </w:t>
      </w:r>
      <w:r w:rsidR="002E3235">
        <w:rPr>
          <w:rFonts w:ascii="Times New Roman" w:hAnsi="Times New Roman" w:cs="Times New Roman"/>
          <w:sz w:val="24"/>
          <w:szCs w:val="24"/>
        </w:rPr>
        <w:t xml:space="preserve">rigido e centralistico, </w:t>
      </w:r>
      <w:r>
        <w:rPr>
          <w:rFonts w:ascii="Times New Roman" w:hAnsi="Times New Roman" w:cs="Times New Roman"/>
          <w:sz w:val="24"/>
          <w:szCs w:val="24"/>
        </w:rPr>
        <w:t>ancorato a pregiudiziali ideologiche che hanno fort</w:t>
      </w:r>
      <w:r>
        <w:rPr>
          <w:rFonts w:ascii="Times New Roman" w:hAnsi="Times New Roman" w:cs="Times New Roman"/>
          <w:sz w:val="24"/>
          <w:szCs w:val="24"/>
        </w:rPr>
        <w:t>e</w:t>
      </w:r>
      <w:r>
        <w:rPr>
          <w:rFonts w:ascii="Times New Roman" w:hAnsi="Times New Roman" w:cs="Times New Roman"/>
          <w:sz w:val="24"/>
          <w:szCs w:val="24"/>
        </w:rPr>
        <w:t xml:space="preserve">mente condizionato nel tempo </w:t>
      </w:r>
      <w:r w:rsidR="007E5C23">
        <w:rPr>
          <w:rFonts w:ascii="Times New Roman" w:hAnsi="Times New Roman" w:cs="Times New Roman"/>
          <w:sz w:val="24"/>
          <w:szCs w:val="24"/>
        </w:rPr>
        <w:t xml:space="preserve">il suo sviluppo e </w:t>
      </w:r>
      <w:r>
        <w:rPr>
          <w:rFonts w:ascii="Times New Roman" w:hAnsi="Times New Roman" w:cs="Times New Roman"/>
          <w:sz w:val="24"/>
          <w:szCs w:val="24"/>
        </w:rPr>
        <w:t>la sua organizzazione</w:t>
      </w:r>
      <w:r w:rsidR="007E5C23">
        <w:rPr>
          <w:rStyle w:val="Rimandonotaapidipagina"/>
          <w:rFonts w:ascii="Times New Roman" w:hAnsi="Times New Roman" w:cs="Times New Roman"/>
          <w:sz w:val="24"/>
          <w:szCs w:val="24"/>
        </w:rPr>
        <w:footnoteReference w:id="12"/>
      </w:r>
      <w:r>
        <w:rPr>
          <w:rFonts w:ascii="Times New Roman" w:hAnsi="Times New Roman" w:cs="Times New Roman"/>
          <w:sz w:val="24"/>
          <w:szCs w:val="24"/>
        </w:rPr>
        <w:t>.</w:t>
      </w:r>
    </w:p>
    <w:p w:rsidR="00314F34" w:rsidRDefault="00314F34" w:rsidP="00587D0E">
      <w:pPr>
        <w:jc w:val="both"/>
        <w:rPr>
          <w:rFonts w:ascii="Times New Roman" w:hAnsi="Times New Roman" w:cs="Times New Roman"/>
          <w:sz w:val="24"/>
          <w:szCs w:val="24"/>
        </w:rPr>
      </w:pPr>
    </w:p>
    <w:p w:rsidR="00314F34" w:rsidRPr="00314F34" w:rsidRDefault="00314F34" w:rsidP="00587D0E">
      <w:pPr>
        <w:jc w:val="both"/>
        <w:rPr>
          <w:rFonts w:ascii="Times New Roman" w:hAnsi="Times New Roman" w:cs="Times New Roman"/>
          <w:i/>
          <w:sz w:val="24"/>
          <w:szCs w:val="24"/>
        </w:rPr>
      </w:pPr>
      <w:r w:rsidRPr="00314F34">
        <w:rPr>
          <w:rFonts w:ascii="Times New Roman" w:hAnsi="Times New Roman" w:cs="Times New Roman"/>
          <w:i/>
          <w:sz w:val="24"/>
          <w:szCs w:val="24"/>
        </w:rPr>
        <w:t>5. Prospettive</w:t>
      </w:r>
      <w:r>
        <w:rPr>
          <w:rFonts w:ascii="Times New Roman" w:hAnsi="Times New Roman" w:cs="Times New Roman"/>
          <w:i/>
          <w:sz w:val="24"/>
          <w:szCs w:val="24"/>
        </w:rPr>
        <w:t xml:space="preserve"> di sviluppo</w:t>
      </w:r>
    </w:p>
    <w:p w:rsidR="00314F34" w:rsidRDefault="00314F34" w:rsidP="00587D0E">
      <w:pPr>
        <w:jc w:val="both"/>
        <w:rPr>
          <w:rFonts w:ascii="Times New Roman" w:hAnsi="Times New Roman" w:cs="Times New Roman"/>
          <w:sz w:val="24"/>
          <w:szCs w:val="24"/>
        </w:rPr>
      </w:pPr>
    </w:p>
    <w:p w:rsidR="007E5C23" w:rsidRDefault="007E5C23" w:rsidP="00587D0E">
      <w:pPr>
        <w:ind w:firstLine="709"/>
        <w:jc w:val="both"/>
        <w:rPr>
          <w:rFonts w:ascii="Times New Roman" w:hAnsi="Times New Roman" w:cs="Times New Roman"/>
          <w:sz w:val="24"/>
          <w:szCs w:val="24"/>
        </w:rPr>
      </w:pPr>
      <w:r>
        <w:rPr>
          <w:rFonts w:ascii="Times New Roman" w:hAnsi="Times New Roman" w:cs="Times New Roman"/>
          <w:sz w:val="24"/>
          <w:szCs w:val="24"/>
        </w:rPr>
        <w:t xml:space="preserve">La legge 62/2000 ha </w:t>
      </w:r>
      <w:r w:rsidR="002E3235">
        <w:rPr>
          <w:rFonts w:ascii="Times New Roman" w:hAnsi="Times New Roman" w:cs="Times New Roman"/>
          <w:sz w:val="24"/>
          <w:szCs w:val="24"/>
        </w:rPr>
        <w:t>introdotto</w:t>
      </w:r>
      <w:r>
        <w:rPr>
          <w:rFonts w:ascii="Times New Roman" w:hAnsi="Times New Roman" w:cs="Times New Roman"/>
          <w:sz w:val="24"/>
          <w:szCs w:val="24"/>
        </w:rPr>
        <w:t xml:space="preserve"> la parità giuridica ma ha trascurato quella economica, fissa</w:t>
      </w:r>
      <w:r>
        <w:rPr>
          <w:rFonts w:ascii="Times New Roman" w:hAnsi="Times New Roman" w:cs="Times New Roman"/>
          <w:sz w:val="24"/>
          <w:szCs w:val="24"/>
        </w:rPr>
        <w:t>n</w:t>
      </w:r>
      <w:r>
        <w:rPr>
          <w:rFonts w:ascii="Times New Roman" w:hAnsi="Times New Roman" w:cs="Times New Roman"/>
          <w:sz w:val="24"/>
          <w:szCs w:val="24"/>
        </w:rPr>
        <w:t xml:space="preserve">do dunque </w:t>
      </w:r>
      <w:r w:rsidR="002E3235">
        <w:rPr>
          <w:rFonts w:ascii="Times New Roman" w:hAnsi="Times New Roman" w:cs="Times New Roman"/>
          <w:sz w:val="24"/>
          <w:szCs w:val="24"/>
        </w:rPr>
        <w:t xml:space="preserve">il </w:t>
      </w:r>
      <w:r>
        <w:rPr>
          <w:rFonts w:ascii="Times New Roman" w:hAnsi="Times New Roman" w:cs="Times New Roman"/>
          <w:sz w:val="24"/>
          <w:szCs w:val="24"/>
        </w:rPr>
        <w:t>principio senza consentirne la concreta – paritaria – realizzazione</w:t>
      </w:r>
      <w:r>
        <w:rPr>
          <w:rStyle w:val="Rimandonotaapidipagina"/>
          <w:rFonts w:ascii="Times New Roman" w:hAnsi="Times New Roman" w:cs="Times New Roman"/>
          <w:sz w:val="24"/>
          <w:szCs w:val="24"/>
        </w:rPr>
        <w:footnoteReference w:id="13"/>
      </w:r>
      <w:r>
        <w:rPr>
          <w:rFonts w:ascii="Times New Roman" w:hAnsi="Times New Roman" w:cs="Times New Roman"/>
          <w:sz w:val="24"/>
          <w:szCs w:val="24"/>
        </w:rPr>
        <w:t>. La produzione normativa che ne è derivata è, nel pur breve periodo</w:t>
      </w:r>
      <w:r w:rsidR="00FD2A8F">
        <w:rPr>
          <w:rFonts w:ascii="Times New Roman" w:hAnsi="Times New Roman" w:cs="Times New Roman"/>
          <w:sz w:val="24"/>
          <w:szCs w:val="24"/>
        </w:rPr>
        <w:t xml:space="preserve"> di attuazione della </w:t>
      </w:r>
      <w:r w:rsidR="002E3235">
        <w:rPr>
          <w:rFonts w:ascii="Times New Roman" w:hAnsi="Times New Roman" w:cs="Times New Roman"/>
          <w:sz w:val="24"/>
          <w:szCs w:val="24"/>
        </w:rPr>
        <w:t>legge</w:t>
      </w:r>
      <w:r>
        <w:rPr>
          <w:rFonts w:ascii="Times New Roman" w:hAnsi="Times New Roman" w:cs="Times New Roman"/>
          <w:sz w:val="24"/>
          <w:szCs w:val="24"/>
        </w:rPr>
        <w:t xml:space="preserve">, un insieme di </w:t>
      </w:r>
      <w:r w:rsidR="00FD2A8F">
        <w:rPr>
          <w:rFonts w:ascii="Times New Roman" w:hAnsi="Times New Roman" w:cs="Times New Roman"/>
          <w:sz w:val="24"/>
          <w:szCs w:val="24"/>
        </w:rPr>
        <w:t>disp</w:t>
      </w:r>
      <w:r w:rsidR="00FD2A8F">
        <w:rPr>
          <w:rFonts w:ascii="Times New Roman" w:hAnsi="Times New Roman" w:cs="Times New Roman"/>
          <w:sz w:val="24"/>
          <w:szCs w:val="24"/>
        </w:rPr>
        <w:t>o</w:t>
      </w:r>
      <w:r w:rsidR="00FD2A8F">
        <w:rPr>
          <w:rFonts w:ascii="Times New Roman" w:hAnsi="Times New Roman" w:cs="Times New Roman"/>
          <w:sz w:val="24"/>
          <w:szCs w:val="24"/>
        </w:rPr>
        <w:t>sizioni</w:t>
      </w:r>
      <w:r>
        <w:rPr>
          <w:rFonts w:ascii="Times New Roman" w:hAnsi="Times New Roman" w:cs="Times New Roman"/>
          <w:sz w:val="24"/>
          <w:szCs w:val="24"/>
        </w:rPr>
        <w:t xml:space="preserve"> che tendono più a distinguere che a integrare, prestando attenzione più agli obblighi che ai diritti</w:t>
      </w:r>
      <w:r>
        <w:rPr>
          <w:rStyle w:val="Rimandonotaapidipagina"/>
          <w:rFonts w:ascii="Times New Roman" w:hAnsi="Times New Roman" w:cs="Times New Roman"/>
          <w:sz w:val="24"/>
          <w:szCs w:val="24"/>
        </w:rPr>
        <w:footnoteReference w:id="14"/>
      </w:r>
      <w:r w:rsidR="002E3235">
        <w:rPr>
          <w:rFonts w:ascii="Times New Roman" w:hAnsi="Times New Roman" w:cs="Times New Roman"/>
          <w:sz w:val="24"/>
          <w:szCs w:val="24"/>
        </w:rPr>
        <w:t xml:space="preserve">, conservando </w:t>
      </w:r>
      <w:r w:rsidR="00002E6C">
        <w:rPr>
          <w:rFonts w:ascii="Times New Roman" w:hAnsi="Times New Roman" w:cs="Times New Roman"/>
          <w:sz w:val="24"/>
          <w:szCs w:val="24"/>
        </w:rPr>
        <w:t xml:space="preserve">alla scuola statale un ruolo </w:t>
      </w:r>
      <w:r w:rsidR="002E3235">
        <w:rPr>
          <w:rFonts w:ascii="Times New Roman" w:hAnsi="Times New Roman" w:cs="Times New Roman"/>
          <w:sz w:val="24"/>
          <w:szCs w:val="24"/>
        </w:rPr>
        <w:t>paradigmatic</w:t>
      </w:r>
      <w:r w:rsidR="00002E6C">
        <w:rPr>
          <w:rFonts w:ascii="Times New Roman" w:hAnsi="Times New Roman" w:cs="Times New Roman"/>
          <w:sz w:val="24"/>
          <w:szCs w:val="24"/>
        </w:rPr>
        <w:t>o</w:t>
      </w:r>
      <w:r>
        <w:rPr>
          <w:rFonts w:ascii="Times New Roman" w:hAnsi="Times New Roman" w:cs="Times New Roman"/>
          <w:sz w:val="24"/>
          <w:szCs w:val="24"/>
        </w:rPr>
        <w:t>.</w:t>
      </w:r>
      <w:r w:rsidR="00FD2A8F">
        <w:rPr>
          <w:rFonts w:ascii="Times New Roman" w:hAnsi="Times New Roman" w:cs="Times New Roman"/>
          <w:sz w:val="24"/>
          <w:szCs w:val="24"/>
        </w:rPr>
        <w:t xml:space="preserve"> Le scuole paritarie, da parte loro</w:t>
      </w:r>
      <w:r w:rsidR="002E3235">
        <w:rPr>
          <w:rFonts w:ascii="Times New Roman" w:hAnsi="Times New Roman" w:cs="Times New Roman"/>
          <w:sz w:val="24"/>
          <w:szCs w:val="24"/>
        </w:rPr>
        <w:t>,</w:t>
      </w:r>
      <w:r w:rsidR="00FD2A8F">
        <w:rPr>
          <w:rFonts w:ascii="Times New Roman" w:hAnsi="Times New Roman" w:cs="Times New Roman"/>
          <w:sz w:val="24"/>
          <w:szCs w:val="24"/>
        </w:rPr>
        <w:t xml:space="preserve"> cercano di fronteggiare le difficoltà con soluzioni gestionali diversificate che, nel momento in cui alle congregazioni subentrano sempre più spesso imprese sociali affidate al protagonismo laicale, possono essere lette come un importante segno dei tempi</w:t>
      </w:r>
      <w:r w:rsidR="00FD2A8F">
        <w:rPr>
          <w:rStyle w:val="Rimandonotaapidipagina"/>
          <w:rFonts w:ascii="Times New Roman" w:hAnsi="Times New Roman" w:cs="Times New Roman"/>
          <w:sz w:val="24"/>
          <w:szCs w:val="24"/>
        </w:rPr>
        <w:footnoteReference w:id="15"/>
      </w:r>
      <w:r w:rsidR="00FD2A8F">
        <w:rPr>
          <w:rFonts w:ascii="Times New Roman" w:hAnsi="Times New Roman" w:cs="Times New Roman"/>
          <w:sz w:val="24"/>
          <w:szCs w:val="24"/>
        </w:rPr>
        <w:t>.</w:t>
      </w:r>
    </w:p>
    <w:p w:rsidR="00FD2A8F" w:rsidRDefault="008F5C98" w:rsidP="00587D0E">
      <w:pPr>
        <w:ind w:firstLine="709"/>
        <w:jc w:val="both"/>
        <w:rPr>
          <w:rFonts w:ascii="Times New Roman" w:hAnsi="Times New Roman" w:cs="Times New Roman"/>
          <w:sz w:val="24"/>
          <w:szCs w:val="24"/>
        </w:rPr>
      </w:pPr>
      <w:r>
        <w:rPr>
          <w:rFonts w:ascii="Times New Roman" w:hAnsi="Times New Roman" w:cs="Times New Roman"/>
          <w:sz w:val="24"/>
          <w:szCs w:val="24"/>
        </w:rPr>
        <w:t>Per far fronte a</w:t>
      </w:r>
      <w:r w:rsidR="002E3235">
        <w:rPr>
          <w:rFonts w:ascii="Times New Roman" w:hAnsi="Times New Roman" w:cs="Times New Roman"/>
          <w:sz w:val="24"/>
          <w:szCs w:val="24"/>
        </w:rPr>
        <w:t>lle</w:t>
      </w:r>
      <w:r>
        <w:rPr>
          <w:rFonts w:ascii="Times New Roman" w:hAnsi="Times New Roman" w:cs="Times New Roman"/>
          <w:sz w:val="24"/>
          <w:szCs w:val="24"/>
        </w:rPr>
        <w:t xml:space="preserve"> difficolta </w:t>
      </w:r>
      <w:r w:rsidR="002E3235">
        <w:rPr>
          <w:rFonts w:ascii="Times New Roman" w:hAnsi="Times New Roman" w:cs="Times New Roman"/>
          <w:sz w:val="24"/>
          <w:szCs w:val="24"/>
        </w:rPr>
        <w:t xml:space="preserve">concrete </w:t>
      </w:r>
      <w:r>
        <w:rPr>
          <w:rFonts w:ascii="Times New Roman" w:hAnsi="Times New Roman" w:cs="Times New Roman"/>
          <w:sz w:val="24"/>
          <w:szCs w:val="24"/>
        </w:rPr>
        <w:t>le soluzioni non mancano</w:t>
      </w:r>
      <w:r>
        <w:rPr>
          <w:rStyle w:val="Rimandonotaapidipagina"/>
          <w:rFonts w:ascii="Times New Roman" w:hAnsi="Times New Roman" w:cs="Times New Roman"/>
          <w:sz w:val="24"/>
          <w:szCs w:val="24"/>
        </w:rPr>
        <w:footnoteReference w:id="16"/>
      </w:r>
      <w:r>
        <w:rPr>
          <w:rFonts w:ascii="Times New Roman" w:hAnsi="Times New Roman" w:cs="Times New Roman"/>
          <w:sz w:val="24"/>
          <w:szCs w:val="24"/>
        </w:rPr>
        <w:t>. Occorre però avere il c</w:t>
      </w:r>
      <w:r>
        <w:rPr>
          <w:rFonts w:ascii="Times New Roman" w:hAnsi="Times New Roman" w:cs="Times New Roman"/>
          <w:sz w:val="24"/>
          <w:szCs w:val="24"/>
        </w:rPr>
        <w:t>o</w:t>
      </w:r>
      <w:r>
        <w:rPr>
          <w:rFonts w:ascii="Times New Roman" w:hAnsi="Times New Roman" w:cs="Times New Roman"/>
          <w:sz w:val="24"/>
          <w:szCs w:val="24"/>
        </w:rPr>
        <w:t>raggio di ripensare radicalmente il funzionamento del nostro sistema di istruzione, irrigidito nella sua concezione centralista. Il costo standard per alunno può costituire una proposta di decisiva i</w:t>
      </w:r>
      <w:r>
        <w:rPr>
          <w:rFonts w:ascii="Times New Roman" w:hAnsi="Times New Roman" w:cs="Times New Roman"/>
          <w:sz w:val="24"/>
          <w:szCs w:val="24"/>
        </w:rPr>
        <w:t>n</w:t>
      </w:r>
      <w:r>
        <w:rPr>
          <w:rFonts w:ascii="Times New Roman" w:hAnsi="Times New Roman" w:cs="Times New Roman"/>
          <w:sz w:val="24"/>
          <w:szCs w:val="24"/>
        </w:rPr>
        <w:t>novazione e reale miglioramento dell’efficienza del sistema</w:t>
      </w:r>
      <w:r>
        <w:rPr>
          <w:rStyle w:val="Rimandonotaapidipagina"/>
          <w:rFonts w:ascii="Times New Roman" w:hAnsi="Times New Roman" w:cs="Times New Roman"/>
          <w:sz w:val="24"/>
          <w:szCs w:val="24"/>
        </w:rPr>
        <w:footnoteReference w:id="17"/>
      </w:r>
      <w:r>
        <w:rPr>
          <w:rFonts w:ascii="Times New Roman" w:hAnsi="Times New Roman" w:cs="Times New Roman"/>
          <w:sz w:val="24"/>
          <w:szCs w:val="24"/>
        </w:rPr>
        <w:t xml:space="preserve">. </w:t>
      </w:r>
      <w:r w:rsidR="00002E6C">
        <w:rPr>
          <w:rFonts w:ascii="Times New Roman" w:hAnsi="Times New Roman" w:cs="Times New Roman"/>
          <w:sz w:val="24"/>
          <w:szCs w:val="24"/>
        </w:rPr>
        <w:t>Tale modello è</w:t>
      </w:r>
      <w:r>
        <w:rPr>
          <w:rFonts w:ascii="Times New Roman" w:hAnsi="Times New Roman" w:cs="Times New Roman"/>
          <w:sz w:val="24"/>
          <w:szCs w:val="24"/>
        </w:rPr>
        <w:t xml:space="preserve"> stato studiato anche nell’istruzione e formazione professionale, dove produrrebbe un’importante razionalizzazione della spesa regionale</w:t>
      </w:r>
      <w:r>
        <w:rPr>
          <w:rStyle w:val="Rimandonotaapidipagina"/>
          <w:rFonts w:ascii="Times New Roman" w:hAnsi="Times New Roman" w:cs="Times New Roman"/>
          <w:sz w:val="24"/>
          <w:szCs w:val="24"/>
        </w:rPr>
        <w:footnoteReference w:id="18"/>
      </w:r>
      <w:r>
        <w:rPr>
          <w:rFonts w:ascii="Times New Roman" w:hAnsi="Times New Roman" w:cs="Times New Roman"/>
          <w:sz w:val="24"/>
          <w:szCs w:val="24"/>
        </w:rPr>
        <w:t>. Ma accanto a questa soluzione si possono percorrere altre vie complementari, da</w:t>
      </w:r>
      <w:r>
        <w:rPr>
          <w:rFonts w:ascii="Times New Roman" w:hAnsi="Times New Roman" w:cs="Times New Roman"/>
          <w:sz w:val="24"/>
          <w:szCs w:val="24"/>
        </w:rPr>
        <w:t>l</w:t>
      </w:r>
      <w:r>
        <w:rPr>
          <w:rFonts w:ascii="Times New Roman" w:hAnsi="Times New Roman" w:cs="Times New Roman"/>
          <w:sz w:val="24"/>
          <w:szCs w:val="24"/>
        </w:rPr>
        <w:t>la convenzione (che ha il pregio di dare certezza di risorse alle scuole più piccole) al buono scuola, dalle detrazioni fiscali ai finanziamenti mirati per progetti specifici</w:t>
      </w:r>
      <w:r>
        <w:rPr>
          <w:rStyle w:val="Rimandonotaapidipagina"/>
          <w:rFonts w:ascii="Times New Roman" w:hAnsi="Times New Roman" w:cs="Times New Roman"/>
          <w:sz w:val="24"/>
          <w:szCs w:val="24"/>
        </w:rPr>
        <w:footnoteReference w:id="19"/>
      </w:r>
      <w:r>
        <w:rPr>
          <w:rFonts w:ascii="Times New Roman" w:hAnsi="Times New Roman" w:cs="Times New Roman"/>
          <w:sz w:val="24"/>
          <w:szCs w:val="24"/>
        </w:rPr>
        <w:t>, senza trascurare il capitolo d</w:t>
      </w:r>
      <w:r>
        <w:rPr>
          <w:rFonts w:ascii="Times New Roman" w:hAnsi="Times New Roman" w:cs="Times New Roman"/>
          <w:sz w:val="24"/>
          <w:szCs w:val="24"/>
        </w:rPr>
        <w:t>e</w:t>
      </w:r>
      <w:r>
        <w:rPr>
          <w:rFonts w:ascii="Times New Roman" w:hAnsi="Times New Roman" w:cs="Times New Roman"/>
          <w:sz w:val="24"/>
          <w:szCs w:val="24"/>
        </w:rPr>
        <w:t>licato e doloroso della copertura delle spese per l’inclusione degli alunni con disabilità.</w:t>
      </w:r>
    </w:p>
    <w:p w:rsidR="008F5C98" w:rsidRPr="008F5C98" w:rsidRDefault="008F5C98" w:rsidP="00587D0E">
      <w:pPr>
        <w:ind w:firstLine="709"/>
        <w:jc w:val="both"/>
        <w:rPr>
          <w:rFonts w:ascii="Times New Roman" w:hAnsi="Times New Roman" w:cs="Times New Roman"/>
          <w:sz w:val="24"/>
          <w:szCs w:val="24"/>
        </w:rPr>
      </w:pPr>
      <w:r>
        <w:rPr>
          <w:rFonts w:ascii="Times New Roman" w:hAnsi="Times New Roman" w:cs="Times New Roman"/>
          <w:sz w:val="24"/>
          <w:szCs w:val="24"/>
        </w:rPr>
        <w:t xml:space="preserve">Su tutte queste tematiche e prospettive si è recentemente pronunciato il Consiglio Nazionale della Scuola Cattolica, organismo che raccoglie le </w:t>
      </w:r>
      <w:r w:rsidR="00C23C5E">
        <w:rPr>
          <w:rFonts w:ascii="Times New Roman" w:hAnsi="Times New Roman" w:cs="Times New Roman"/>
          <w:sz w:val="24"/>
          <w:szCs w:val="24"/>
        </w:rPr>
        <w:t xml:space="preserve">associazioni e federazioni </w:t>
      </w:r>
      <w:r>
        <w:rPr>
          <w:rFonts w:ascii="Times New Roman" w:hAnsi="Times New Roman" w:cs="Times New Roman"/>
          <w:sz w:val="24"/>
          <w:szCs w:val="24"/>
        </w:rPr>
        <w:t>rappresentative del mondo della scuola cattolica e della formazione professionale di ispirazione cristiana, nel docume</w:t>
      </w:r>
      <w:r>
        <w:rPr>
          <w:rFonts w:ascii="Times New Roman" w:hAnsi="Times New Roman" w:cs="Times New Roman"/>
          <w:sz w:val="24"/>
          <w:szCs w:val="24"/>
        </w:rPr>
        <w:t>n</w:t>
      </w:r>
      <w:r>
        <w:rPr>
          <w:rFonts w:ascii="Times New Roman" w:hAnsi="Times New Roman" w:cs="Times New Roman"/>
          <w:sz w:val="24"/>
          <w:szCs w:val="24"/>
        </w:rPr>
        <w:t xml:space="preserve">to su </w:t>
      </w:r>
      <w:r>
        <w:rPr>
          <w:rFonts w:ascii="Times New Roman" w:hAnsi="Times New Roman" w:cs="Times New Roman"/>
          <w:i/>
          <w:sz w:val="24"/>
          <w:szCs w:val="24"/>
        </w:rPr>
        <w:t>Autonomia, parità e libertà di scelta educativa</w:t>
      </w:r>
      <w:r>
        <w:rPr>
          <w:rFonts w:ascii="Times New Roman" w:hAnsi="Times New Roman" w:cs="Times New Roman"/>
          <w:sz w:val="24"/>
          <w:szCs w:val="24"/>
        </w:rPr>
        <w:t xml:space="preserve">, che </w:t>
      </w:r>
      <w:r w:rsidR="00314F34">
        <w:rPr>
          <w:rFonts w:ascii="Times New Roman" w:hAnsi="Times New Roman" w:cs="Times New Roman"/>
          <w:sz w:val="24"/>
          <w:szCs w:val="24"/>
        </w:rPr>
        <w:t>per documentazione viene riportato qui di seguito.</w:t>
      </w:r>
    </w:p>
    <w:p w:rsidR="00FD2A8F" w:rsidRDefault="00FD2A8F" w:rsidP="00587D0E">
      <w:pPr>
        <w:ind w:firstLine="709"/>
        <w:jc w:val="both"/>
        <w:rPr>
          <w:rFonts w:ascii="Times New Roman" w:hAnsi="Times New Roman" w:cs="Times New Roman"/>
          <w:sz w:val="24"/>
          <w:szCs w:val="24"/>
        </w:rPr>
      </w:pPr>
    </w:p>
    <w:sectPr w:rsidR="00FD2A8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5E" w:rsidRDefault="0021215E" w:rsidP="00EB6C14">
      <w:r>
        <w:separator/>
      </w:r>
    </w:p>
  </w:endnote>
  <w:endnote w:type="continuationSeparator" w:id="0">
    <w:p w:rsidR="0021215E" w:rsidRDefault="0021215E" w:rsidP="00EB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5E" w:rsidRDefault="0021215E" w:rsidP="00EB6C14">
      <w:r>
        <w:separator/>
      </w:r>
    </w:p>
  </w:footnote>
  <w:footnote w:type="continuationSeparator" w:id="0">
    <w:p w:rsidR="0021215E" w:rsidRDefault="0021215E" w:rsidP="00EB6C14">
      <w:r>
        <w:continuationSeparator/>
      </w:r>
    </w:p>
  </w:footnote>
  <w:footnote w:id="1">
    <w:p w:rsidR="00836FE9" w:rsidRPr="00966313" w:rsidRDefault="00836FE9"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sym w:font="Symbol" w:char="F02A"/>
      </w:r>
      <w:r w:rsidRPr="00966313">
        <w:rPr>
          <w:rFonts w:ascii="Times New Roman" w:hAnsi="Times New Roman" w:cs="Times New Roman"/>
        </w:rPr>
        <w:t xml:space="preserve"> Coordinatore scientifico del Centro Studi per la Scuola Cattolica.</w:t>
      </w:r>
    </w:p>
  </w:footnote>
  <w:footnote w:id="2">
    <w:p w:rsidR="00EB6C14" w:rsidRPr="00966313" w:rsidRDefault="00EB6C14"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314F34" w:rsidRPr="00966313">
        <w:rPr>
          <w:rFonts w:ascii="Times New Roman" w:hAnsi="Times New Roman" w:cs="Times New Roman"/>
        </w:rPr>
        <w:t xml:space="preserve">Cfr. sopra R. </w:t>
      </w:r>
      <w:proofErr w:type="spellStart"/>
      <w:r w:rsidRPr="00966313">
        <w:rPr>
          <w:rFonts w:ascii="Times New Roman" w:hAnsi="Times New Roman" w:cs="Times New Roman"/>
        </w:rPr>
        <w:t>Pellegatta</w:t>
      </w:r>
      <w:proofErr w:type="spellEnd"/>
      <w:r w:rsidR="00314F34" w:rsidRPr="00966313">
        <w:rPr>
          <w:rFonts w:ascii="Times New Roman" w:hAnsi="Times New Roman" w:cs="Times New Roman"/>
        </w:rPr>
        <w:t xml:space="preserve">, </w:t>
      </w:r>
      <w:r w:rsidR="00314F34" w:rsidRPr="00966313">
        <w:rPr>
          <w:rFonts w:ascii="Times New Roman" w:hAnsi="Times New Roman" w:cs="Times New Roman"/>
          <w:i/>
        </w:rPr>
        <w:t>I costi del sistema scolastico statale</w:t>
      </w:r>
      <w:r w:rsidR="00314F34" w:rsidRPr="00966313">
        <w:rPr>
          <w:rFonts w:ascii="Times New Roman" w:hAnsi="Times New Roman" w:cs="Times New Roman"/>
        </w:rPr>
        <w:t>.</w:t>
      </w:r>
    </w:p>
  </w:footnote>
  <w:footnote w:id="3">
    <w:p w:rsidR="00EB6C14" w:rsidRPr="00966313" w:rsidRDefault="00EB6C14"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314F34" w:rsidRPr="00966313">
        <w:rPr>
          <w:rFonts w:ascii="Times New Roman" w:hAnsi="Times New Roman" w:cs="Times New Roman"/>
        </w:rPr>
        <w:t xml:space="preserve">Cfr. sopra M. </w:t>
      </w:r>
      <w:r w:rsidRPr="00966313">
        <w:rPr>
          <w:rFonts w:ascii="Times New Roman" w:hAnsi="Times New Roman" w:cs="Times New Roman"/>
        </w:rPr>
        <w:t>Grumo</w:t>
      </w:r>
      <w:r w:rsidR="00314F34" w:rsidRPr="00966313">
        <w:rPr>
          <w:rFonts w:ascii="Times New Roman" w:hAnsi="Times New Roman" w:cs="Times New Roman"/>
        </w:rPr>
        <w:t xml:space="preserve">, </w:t>
      </w:r>
      <w:r w:rsidR="00314F34" w:rsidRPr="00966313">
        <w:rPr>
          <w:rFonts w:ascii="Times New Roman" w:hAnsi="Times New Roman" w:cs="Times New Roman"/>
          <w:i/>
        </w:rPr>
        <w:t>Considerazioni e numeri su costi consuntivi e costi standard delle scuole paritarie</w:t>
      </w:r>
      <w:r w:rsidR="00314F34" w:rsidRPr="00966313">
        <w:rPr>
          <w:rFonts w:ascii="Times New Roman" w:hAnsi="Times New Roman" w:cs="Times New Roman"/>
        </w:rPr>
        <w:t>.</w:t>
      </w:r>
    </w:p>
  </w:footnote>
  <w:footnote w:id="4">
    <w:p w:rsidR="00EB6C14" w:rsidRPr="00966313" w:rsidRDefault="00EB6C14"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314F34" w:rsidRPr="00966313">
        <w:rPr>
          <w:rFonts w:ascii="Times New Roman" w:hAnsi="Times New Roman" w:cs="Times New Roman"/>
        </w:rPr>
        <w:t xml:space="preserve">Cfr. sopra E. </w:t>
      </w:r>
      <w:r w:rsidRPr="00966313">
        <w:rPr>
          <w:rFonts w:ascii="Times New Roman" w:hAnsi="Times New Roman" w:cs="Times New Roman"/>
        </w:rPr>
        <w:t>Formosa</w:t>
      </w:r>
      <w:r w:rsidR="00314F34" w:rsidRPr="00966313">
        <w:rPr>
          <w:rFonts w:ascii="Times New Roman" w:hAnsi="Times New Roman" w:cs="Times New Roman"/>
        </w:rPr>
        <w:t xml:space="preserve">, </w:t>
      </w:r>
      <w:r w:rsidR="00314F34" w:rsidRPr="00966313">
        <w:rPr>
          <w:rFonts w:ascii="Times New Roman" w:hAnsi="Times New Roman" w:cs="Times New Roman"/>
          <w:i/>
        </w:rPr>
        <w:t>La scuola paritaria e i suoi (tanti) CCNL</w:t>
      </w:r>
      <w:r w:rsidR="00314F34" w:rsidRPr="00966313">
        <w:rPr>
          <w:rFonts w:ascii="Times New Roman" w:hAnsi="Times New Roman" w:cs="Times New Roman"/>
        </w:rPr>
        <w:t>.</w:t>
      </w:r>
    </w:p>
  </w:footnote>
  <w:footnote w:id="5">
    <w:p w:rsidR="007E5C23" w:rsidRPr="00966313" w:rsidRDefault="007E5C23"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42289A" w:rsidRPr="00966313">
        <w:rPr>
          <w:rFonts w:ascii="Times New Roman" w:hAnsi="Times New Roman" w:cs="Times New Roman"/>
        </w:rPr>
        <w:t xml:space="preserve">Cfr. sopra F. </w:t>
      </w:r>
      <w:r w:rsidRPr="00966313">
        <w:rPr>
          <w:rFonts w:ascii="Times New Roman" w:hAnsi="Times New Roman" w:cs="Times New Roman"/>
        </w:rPr>
        <w:t>Magni</w:t>
      </w:r>
      <w:r w:rsidR="0042289A" w:rsidRPr="00966313">
        <w:rPr>
          <w:rFonts w:ascii="Times New Roman" w:hAnsi="Times New Roman" w:cs="Times New Roman"/>
        </w:rPr>
        <w:t xml:space="preserve">, </w:t>
      </w:r>
      <w:r w:rsidR="0042289A" w:rsidRPr="00966313">
        <w:rPr>
          <w:rFonts w:ascii="Times New Roman" w:hAnsi="Times New Roman" w:cs="Times New Roman"/>
          <w:i/>
        </w:rPr>
        <w:t>La giurisprudenza recente, italiana ed europea, in materia di istruzione paritaria</w:t>
      </w:r>
      <w:r w:rsidR="0042289A" w:rsidRPr="00966313">
        <w:rPr>
          <w:rFonts w:ascii="Times New Roman" w:hAnsi="Times New Roman" w:cs="Times New Roman"/>
        </w:rPr>
        <w:t>.</w:t>
      </w:r>
    </w:p>
  </w:footnote>
  <w:footnote w:id="6">
    <w:p w:rsidR="00FD2A8F" w:rsidRPr="00966313" w:rsidRDefault="00FD2A8F"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7823ED" w:rsidRPr="00966313">
        <w:rPr>
          <w:rFonts w:ascii="Times New Roman" w:hAnsi="Times New Roman" w:cs="Times New Roman"/>
        </w:rPr>
        <w:t xml:space="preserve">Cfr. sopra G. </w:t>
      </w:r>
      <w:r w:rsidRPr="00966313">
        <w:rPr>
          <w:rFonts w:ascii="Times New Roman" w:hAnsi="Times New Roman" w:cs="Times New Roman"/>
        </w:rPr>
        <w:t>Maffeo</w:t>
      </w:r>
      <w:r w:rsidR="007823ED" w:rsidRPr="00966313">
        <w:rPr>
          <w:rFonts w:ascii="Times New Roman" w:hAnsi="Times New Roman" w:cs="Times New Roman"/>
        </w:rPr>
        <w:t xml:space="preserve">, </w:t>
      </w:r>
      <w:r w:rsidR="007823ED" w:rsidRPr="00966313">
        <w:rPr>
          <w:rFonts w:ascii="Times New Roman" w:hAnsi="Times New Roman" w:cs="Times New Roman"/>
          <w:i/>
        </w:rPr>
        <w:t>Il diritto all’istruzione nei documenti internazionali</w:t>
      </w:r>
      <w:r w:rsidR="007823ED" w:rsidRPr="00966313">
        <w:rPr>
          <w:rFonts w:ascii="Times New Roman" w:hAnsi="Times New Roman" w:cs="Times New Roman"/>
        </w:rPr>
        <w:t>.</w:t>
      </w:r>
    </w:p>
  </w:footnote>
  <w:footnote w:id="7">
    <w:p w:rsidR="00EB6C14" w:rsidRPr="00966313" w:rsidRDefault="00EB6C14"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7823ED" w:rsidRPr="00966313">
        <w:rPr>
          <w:rFonts w:ascii="Times New Roman" w:hAnsi="Times New Roman" w:cs="Times New Roman"/>
        </w:rPr>
        <w:t xml:space="preserve">Cfr. sopra D. </w:t>
      </w:r>
      <w:r w:rsidRPr="00966313">
        <w:rPr>
          <w:rFonts w:ascii="Times New Roman" w:hAnsi="Times New Roman" w:cs="Times New Roman"/>
        </w:rPr>
        <w:t>Nicoli</w:t>
      </w:r>
      <w:r w:rsidR="007823ED" w:rsidRPr="00966313">
        <w:rPr>
          <w:rFonts w:ascii="Times New Roman" w:hAnsi="Times New Roman" w:cs="Times New Roman"/>
        </w:rPr>
        <w:t xml:space="preserve">, </w:t>
      </w:r>
      <w:r w:rsidR="007823ED" w:rsidRPr="00966313">
        <w:rPr>
          <w:rFonts w:ascii="Times New Roman" w:hAnsi="Times New Roman" w:cs="Times New Roman"/>
          <w:i/>
        </w:rPr>
        <w:t>Un progetto educativo per la generazione del risveglio</w:t>
      </w:r>
      <w:r w:rsidR="007823ED" w:rsidRPr="00966313">
        <w:rPr>
          <w:rFonts w:ascii="Times New Roman" w:hAnsi="Times New Roman" w:cs="Times New Roman"/>
        </w:rPr>
        <w:t>.</w:t>
      </w:r>
    </w:p>
  </w:footnote>
  <w:footnote w:id="8">
    <w:p w:rsidR="00E10E2A" w:rsidRPr="00966313" w:rsidRDefault="00E10E2A"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7823ED" w:rsidRPr="00966313">
        <w:rPr>
          <w:rFonts w:ascii="Times New Roman" w:hAnsi="Times New Roman" w:cs="Times New Roman"/>
        </w:rPr>
        <w:t xml:space="preserve">Cfr. sopra G. </w:t>
      </w:r>
      <w:r w:rsidRPr="00966313">
        <w:rPr>
          <w:rFonts w:ascii="Times New Roman" w:hAnsi="Times New Roman" w:cs="Times New Roman"/>
        </w:rPr>
        <w:t>Zanniello</w:t>
      </w:r>
      <w:r w:rsidR="007823ED" w:rsidRPr="00966313">
        <w:rPr>
          <w:rFonts w:ascii="Times New Roman" w:hAnsi="Times New Roman" w:cs="Times New Roman"/>
        </w:rPr>
        <w:t xml:space="preserve">, </w:t>
      </w:r>
      <w:r w:rsidR="007823ED" w:rsidRPr="00966313">
        <w:rPr>
          <w:rFonts w:ascii="Times New Roman" w:hAnsi="Times New Roman" w:cs="Times New Roman"/>
          <w:i/>
        </w:rPr>
        <w:t>Identità e qualità di una scuola. Il valore aggiunto dell’appartenenza a una comunità</w:t>
      </w:r>
      <w:r w:rsidR="007823ED" w:rsidRPr="00966313">
        <w:rPr>
          <w:rFonts w:ascii="Times New Roman" w:hAnsi="Times New Roman" w:cs="Times New Roman"/>
        </w:rPr>
        <w:t>.</w:t>
      </w:r>
    </w:p>
  </w:footnote>
  <w:footnote w:id="9">
    <w:p w:rsidR="00166650" w:rsidRPr="00966313" w:rsidRDefault="00166650"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7823ED" w:rsidRPr="00966313">
        <w:rPr>
          <w:rFonts w:ascii="Times New Roman" w:hAnsi="Times New Roman" w:cs="Times New Roman"/>
        </w:rPr>
        <w:t xml:space="preserve">Cfr. sopra G. </w:t>
      </w:r>
      <w:r w:rsidRPr="00966313">
        <w:rPr>
          <w:rFonts w:ascii="Times New Roman" w:hAnsi="Times New Roman" w:cs="Times New Roman"/>
        </w:rPr>
        <w:t>Malizia</w:t>
      </w:r>
      <w:r w:rsidR="007823ED" w:rsidRPr="00966313">
        <w:rPr>
          <w:rFonts w:ascii="Times New Roman" w:hAnsi="Times New Roman" w:cs="Times New Roman"/>
        </w:rPr>
        <w:t xml:space="preserve">, </w:t>
      </w:r>
      <w:r w:rsidR="007823ED" w:rsidRPr="00966313">
        <w:rPr>
          <w:rFonts w:ascii="Times New Roman" w:hAnsi="Times New Roman" w:cs="Times New Roman"/>
          <w:i/>
        </w:rPr>
        <w:t>Autonomia e parità nel quadro della libertà di educazione. I ritardi del nostro sistema nazion</w:t>
      </w:r>
      <w:r w:rsidR="007823ED" w:rsidRPr="00966313">
        <w:rPr>
          <w:rFonts w:ascii="Times New Roman" w:hAnsi="Times New Roman" w:cs="Times New Roman"/>
          <w:i/>
        </w:rPr>
        <w:t>a</w:t>
      </w:r>
      <w:r w:rsidR="007823ED" w:rsidRPr="00966313">
        <w:rPr>
          <w:rFonts w:ascii="Times New Roman" w:hAnsi="Times New Roman" w:cs="Times New Roman"/>
          <w:i/>
        </w:rPr>
        <w:t>le di istruzione</w:t>
      </w:r>
      <w:r w:rsidR="007823ED" w:rsidRPr="00966313">
        <w:rPr>
          <w:rFonts w:ascii="Times New Roman" w:hAnsi="Times New Roman" w:cs="Times New Roman"/>
        </w:rPr>
        <w:t>.</w:t>
      </w:r>
    </w:p>
  </w:footnote>
  <w:footnote w:id="10">
    <w:p w:rsidR="00166650" w:rsidRPr="00966313" w:rsidRDefault="00166650"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7823ED" w:rsidRPr="00966313">
        <w:rPr>
          <w:rFonts w:ascii="Times New Roman" w:hAnsi="Times New Roman" w:cs="Times New Roman"/>
        </w:rPr>
        <w:t xml:space="preserve">Cfr. sopra L. </w:t>
      </w:r>
      <w:proofErr w:type="spellStart"/>
      <w:r w:rsidRPr="00966313">
        <w:rPr>
          <w:rFonts w:ascii="Times New Roman" w:hAnsi="Times New Roman" w:cs="Times New Roman"/>
        </w:rPr>
        <w:t>Ribolzi</w:t>
      </w:r>
      <w:proofErr w:type="spellEnd"/>
      <w:r w:rsidR="007823ED" w:rsidRPr="00966313">
        <w:rPr>
          <w:rFonts w:ascii="Times New Roman" w:hAnsi="Times New Roman" w:cs="Times New Roman"/>
        </w:rPr>
        <w:t xml:space="preserve">, </w:t>
      </w:r>
      <w:r w:rsidR="007823ED" w:rsidRPr="00966313">
        <w:rPr>
          <w:rFonts w:ascii="Times New Roman" w:hAnsi="Times New Roman" w:cs="Times New Roman"/>
          <w:i/>
        </w:rPr>
        <w:t>Finalità e forme della scuola: le trasformazioni della domanda sociale di educazione</w:t>
      </w:r>
      <w:r w:rsidR="007823ED" w:rsidRPr="00966313">
        <w:rPr>
          <w:rFonts w:ascii="Times New Roman" w:hAnsi="Times New Roman" w:cs="Times New Roman"/>
        </w:rPr>
        <w:t>.</w:t>
      </w:r>
    </w:p>
  </w:footnote>
  <w:footnote w:id="11">
    <w:p w:rsidR="00166650" w:rsidRPr="00966313" w:rsidRDefault="00166650"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A4413D" w:rsidRPr="00966313">
        <w:rPr>
          <w:rFonts w:ascii="Times New Roman" w:hAnsi="Times New Roman" w:cs="Times New Roman"/>
        </w:rPr>
        <w:t xml:space="preserve">Cfr. sopra G. </w:t>
      </w:r>
      <w:proofErr w:type="spellStart"/>
      <w:r w:rsidRPr="00966313">
        <w:rPr>
          <w:rFonts w:ascii="Times New Roman" w:hAnsi="Times New Roman" w:cs="Times New Roman"/>
        </w:rPr>
        <w:t>Zagardo</w:t>
      </w:r>
      <w:proofErr w:type="spellEnd"/>
      <w:r w:rsidR="00A4413D" w:rsidRPr="00966313">
        <w:rPr>
          <w:rFonts w:ascii="Times New Roman" w:hAnsi="Times New Roman" w:cs="Times New Roman"/>
        </w:rPr>
        <w:t xml:space="preserve">, </w:t>
      </w:r>
      <w:r w:rsidR="00A4413D" w:rsidRPr="00966313">
        <w:rPr>
          <w:rFonts w:ascii="Times New Roman" w:hAnsi="Times New Roman" w:cs="Times New Roman"/>
          <w:i/>
        </w:rPr>
        <w:t>Modelli scolastici e finanziamenti alle scuole non governative in Europa</w:t>
      </w:r>
      <w:r w:rsidR="00A4413D" w:rsidRPr="00966313">
        <w:rPr>
          <w:rFonts w:ascii="Times New Roman" w:hAnsi="Times New Roman" w:cs="Times New Roman"/>
        </w:rPr>
        <w:t>.</w:t>
      </w:r>
    </w:p>
  </w:footnote>
  <w:footnote w:id="12">
    <w:p w:rsidR="007E5C23" w:rsidRPr="00966313" w:rsidRDefault="007E5C23"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DB5922" w:rsidRPr="00966313">
        <w:rPr>
          <w:rFonts w:ascii="Times New Roman" w:hAnsi="Times New Roman" w:cs="Times New Roman"/>
        </w:rPr>
        <w:t xml:space="preserve">Cfr. sopra R.S. </w:t>
      </w:r>
      <w:r w:rsidRPr="00966313">
        <w:rPr>
          <w:rFonts w:ascii="Times New Roman" w:hAnsi="Times New Roman" w:cs="Times New Roman"/>
        </w:rPr>
        <w:t xml:space="preserve">Di </w:t>
      </w:r>
      <w:proofErr w:type="spellStart"/>
      <w:r w:rsidRPr="00966313">
        <w:rPr>
          <w:rFonts w:ascii="Times New Roman" w:hAnsi="Times New Roman" w:cs="Times New Roman"/>
        </w:rPr>
        <w:t>Pol</w:t>
      </w:r>
      <w:proofErr w:type="spellEnd"/>
      <w:r w:rsidR="00DB5922" w:rsidRPr="00966313">
        <w:rPr>
          <w:rFonts w:ascii="Times New Roman" w:hAnsi="Times New Roman" w:cs="Times New Roman"/>
        </w:rPr>
        <w:t xml:space="preserve">, </w:t>
      </w:r>
      <w:r w:rsidR="00DB5922" w:rsidRPr="00966313">
        <w:rPr>
          <w:rFonts w:ascii="Times New Roman" w:hAnsi="Times New Roman" w:cs="Times New Roman"/>
          <w:i/>
        </w:rPr>
        <w:t>Parità scolastica: l’eccezione italiana. Cause storiche e problemi politico-ideologici</w:t>
      </w:r>
      <w:r w:rsidR="00DB5922" w:rsidRPr="00966313">
        <w:rPr>
          <w:rFonts w:ascii="Times New Roman" w:hAnsi="Times New Roman" w:cs="Times New Roman"/>
        </w:rPr>
        <w:t>.</w:t>
      </w:r>
    </w:p>
  </w:footnote>
  <w:footnote w:id="13">
    <w:p w:rsidR="007E5C23" w:rsidRPr="00966313" w:rsidRDefault="007E5C23"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DA0A94" w:rsidRPr="00966313">
        <w:rPr>
          <w:rFonts w:ascii="Times New Roman" w:hAnsi="Times New Roman" w:cs="Times New Roman"/>
        </w:rPr>
        <w:t xml:space="preserve">Cfr. sopra A.M. </w:t>
      </w:r>
      <w:r w:rsidRPr="00966313">
        <w:rPr>
          <w:rFonts w:ascii="Times New Roman" w:hAnsi="Times New Roman" w:cs="Times New Roman"/>
        </w:rPr>
        <w:t>Poggi</w:t>
      </w:r>
      <w:r w:rsidR="00DA0A94" w:rsidRPr="00966313">
        <w:rPr>
          <w:rFonts w:ascii="Times New Roman" w:hAnsi="Times New Roman" w:cs="Times New Roman"/>
        </w:rPr>
        <w:t xml:space="preserve">, </w:t>
      </w:r>
      <w:r w:rsidR="00DA0A94" w:rsidRPr="00966313">
        <w:rPr>
          <w:rFonts w:ascii="Times New Roman" w:hAnsi="Times New Roman" w:cs="Times New Roman"/>
          <w:i/>
        </w:rPr>
        <w:t>Linee di tendenza della legislazione recente in materia di parità scolastica</w:t>
      </w:r>
      <w:r w:rsidR="00DA0A94" w:rsidRPr="00966313">
        <w:rPr>
          <w:rFonts w:ascii="Times New Roman" w:hAnsi="Times New Roman" w:cs="Times New Roman"/>
        </w:rPr>
        <w:t>.</w:t>
      </w:r>
    </w:p>
  </w:footnote>
  <w:footnote w:id="14">
    <w:p w:rsidR="007E5C23" w:rsidRPr="00966313" w:rsidRDefault="007E5C23"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DA0A94" w:rsidRPr="00966313">
        <w:rPr>
          <w:rFonts w:ascii="Times New Roman" w:hAnsi="Times New Roman" w:cs="Times New Roman"/>
        </w:rPr>
        <w:t xml:space="preserve">Cfr. sopra V. </w:t>
      </w:r>
      <w:r w:rsidRPr="00966313">
        <w:rPr>
          <w:rFonts w:ascii="Times New Roman" w:hAnsi="Times New Roman" w:cs="Times New Roman"/>
        </w:rPr>
        <w:t>Kaladich</w:t>
      </w:r>
      <w:r w:rsidR="00DA0A94" w:rsidRPr="00966313">
        <w:rPr>
          <w:rFonts w:ascii="Times New Roman" w:hAnsi="Times New Roman" w:cs="Times New Roman"/>
        </w:rPr>
        <w:t xml:space="preserve">, </w:t>
      </w:r>
      <w:r w:rsidR="00DA0A94" w:rsidRPr="00966313">
        <w:rPr>
          <w:rFonts w:ascii="Times New Roman" w:hAnsi="Times New Roman" w:cs="Times New Roman"/>
          <w:i/>
        </w:rPr>
        <w:t>L’applicazione della legge di parità</w:t>
      </w:r>
      <w:r w:rsidR="00DA0A94" w:rsidRPr="00966313">
        <w:rPr>
          <w:rFonts w:ascii="Times New Roman" w:hAnsi="Times New Roman" w:cs="Times New Roman"/>
        </w:rPr>
        <w:t>.</w:t>
      </w:r>
    </w:p>
  </w:footnote>
  <w:footnote w:id="15">
    <w:p w:rsidR="00FD2A8F" w:rsidRPr="00966313" w:rsidRDefault="00FD2A8F"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DA0A94" w:rsidRPr="00966313">
        <w:rPr>
          <w:rFonts w:ascii="Times New Roman" w:hAnsi="Times New Roman" w:cs="Times New Roman"/>
        </w:rPr>
        <w:t xml:space="preserve">Cfr. sopra S. </w:t>
      </w:r>
      <w:r w:rsidRPr="00966313">
        <w:rPr>
          <w:rFonts w:ascii="Times New Roman" w:hAnsi="Times New Roman" w:cs="Times New Roman"/>
        </w:rPr>
        <w:t>Giordano</w:t>
      </w:r>
      <w:r w:rsidR="00DA0A94" w:rsidRPr="00966313">
        <w:rPr>
          <w:rFonts w:ascii="Times New Roman" w:hAnsi="Times New Roman" w:cs="Times New Roman"/>
        </w:rPr>
        <w:t xml:space="preserve">, </w:t>
      </w:r>
      <w:r w:rsidR="00DA0A94" w:rsidRPr="00966313">
        <w:rPr>
          <w:rFonts w:ascii="Times New Roman" w:hAnsi="Times New Roman" w:cs="Times New Roman"/>
          <w:i/>
        </w:rPr>
        <w:t>Modelli gestionali per le scuole paritarie</w:t>
      </w:r>
      <w:r w:rsidRPr="00966313">
        <w:rPr>
          <w:rFonts w:ascii="Times New Roman" w:hAnsi="Times New Roman" w:cs="Times New Roman"/>
        </w:rPr>
        <w:t xml:space="preserve">. </w:t>
      </w:r>
      <w:r w:rsidR="00DA0A94" w:rsidRPr="00966313">
        <w:rPr>
          <w:rFonts w:ascii="Times New Roman" w:hAnsi="Times New Roman" w:cs="Times New Roman"/>
        </w:rPr>
        <w:t>S</w:t>
      </w:r>
      <w:r w:rsidRPr="00966313">
        <w:rPr>
          <w:rFonts w:ascii="Times New Roman" w:hAnsi="Times New Roman" w:cs="Times New Roman"/>
        </w:rPr>
        <w:t xml:space="preserve">ono prova </w:t>
      </w:r>
      <w:r w:rsidR="00DA0A94" w:rsidRPr="00966313">
        <w:rPr>
          <w:rFonts w:ascii="Times New Roman" w:hAnsi="Times New Roman" w:cs="Times New Roman"/>
        </w:rPr>
        <w:t xml:space="preserve">di creatività e responsabilità anche le buone pratiche </w:t>
      </w:r>
      <w:r w:rsidR="007F03A4" w:rsidRPr="00966313">
        <w:rPr>
          <w:rFonts w:ascii="Times New Roman" w:hAnsi="Times New Roman" w:cs="Times New Roman"/>
        </w:rPr>
        <w:t xml:space="preserve">di scuole cattoliche </w:t>
      </w:r>
      <w:r w:rsidRPr="00966313">
        <w:rPr>
          <w:rFonts w:ascii="Times New Roman" w:hAnsi="Times New Roman" w:cs="Times New Roman"/>
        </w:rPr>
        <w:t xml:space="preserve">raccolte nella terza parte </w:t>
      </w:r>
      <w:r w:rsidR="00DA0A94" w:rsidRPr="00966313">
        <w:rPr>
          <w:rFonts w:ascii="Times New Roman" w:hAnsi="Times New Roman" w:cs="Times New Roman"/>
        </w:rPr>
        <w:t>di questo Rapporto</w:t>
      </w:r>
      <w:r w:rsidR="007F03A4" w:rsidRPr="00966313">
        <w:rPr>
          <w:rFonts w:ascii="Times New Roman" w:hAnsi="Times New Roman" w:cs="Times New Roman"/>
        </w:rPr>
        <w:t>: cfr. sopra</w:t>
      </w:r>
      <w:r w:rsidR="00DA0A94" w:rsidRPr="00966313">
        <w:rPr>
          <w:rFonts w:ascii="Times New Roman" w:hAnsi="Times New Roman" w:cs="Times New Roman"/>
        </w:rPr>
        <w:t xml:space="preserve"> </w:t>
      </w:r>
      <w:r w:rsidR="007F03A4" w:rsidRPr="00966313">
        <w:rPr>
          <w:rFonts w:ascii="Times New Roman" w:hAnsi="Times New Roman" w:cs="Times New Roman"/>
        </w:rPr>
        <w:t xml:space="preserve">G. </w:t>
      </w:r>
      <w:proofErr w:type="spellStart"/>
      <w:r w:rsidRPr="00966313">
        <w:rPr>
          <w:rFonts w:ascii="Times New Roman" w:hAnsi="Times New Roman" w:cs="Times New Roman"/>
        </w:rPr>
        <w:t>Zanfisi</w:t>
      </w:r>
      <w:proofErr w:type="spellEnd"/>
      <w:r w:rsidRPr="00966313">
        <w:rPr>
          <w:rFonts w:ascii="Times New Roman" w:hAnsi="Times New Roman" w:cs="Times New Roman"/>
        </w:rPr>
        <w:t xml:space="preserve">, </w:t>
      </w:r>
      <w:r w:rsidR="00F0265D">
        <w:rPr>
          <w:rFonts w:ascii="Times New Roman" w:hAnsi="Times New Roman" w:cs="Times New Roman"/>
          <w:i/>
        </w:rPr>
        <w:t>Quattro</w:t>
      </w:r>
      <w:r w:rsidR="007F03A4" w:rsidRPr="00966313">
        <w:rPr>
          <w:rFonts w:ascii="Times New Roman" w:hAnsi="Times New Roman" w:cs="Times New Roman"/>
          <w:i/>
        </w:rPr>
        <w:t xml:space="preserve"> esempi di gestione di scuole dell’infanzia Fism</w:t>
      </w:r>
      <w:r w:rsidR="007F03A4" w:rsidRPr="00966313">
        <w:rPr>
          <w:rFonts w:ascii="Times New Roman" w:hAnsi="Times New Roman" w:cs="Times New Roman"/>
        </w:rPr>
        <w:t xml:space="preserve">; P. </w:t>
      </w:r>
      <w:r w:rsidRPr="00966313">
        <w:rPr>
          <w:rFonts w:ascii="Times New Roman" w:hAnsi="Times New Roman" w:cs="Times New Roman"/>
        </w:rPr>
        <w:t xml:space="preserve">Martin, </w:t>
      </w:r>
      <w:r w:rsidR="00F0265D">
        <w:rPr>
          <w:rFonts w:ascii="Times New Roman" w:hAnsi="Times New Roman" w:cs="Times New Roman"/>
          <w:i/>
        </w:rPr>
        <w:t>L</w:t>
      </w:r>
      <w:r w:rsidR="007F03A4" w:rsidRPr="00966313">
        <w:rPr>
          <w:rFonts w:ascii="Times New Roman" w:hAnsi="Times New Roman" w:cs="Times New Roman"/>
          <w:i/>
        </w:rPr>
        <w:t xml:space="preserve">a Fondazione “Santa </w:t>
      </w:r>
      <w:proofErr w:type="spellStart"/>
      <w:r w:rsidR="007F03A4" w:rsidRPr="00966313">
        <w:rPr>
          <w:rFonts w:ascii="Times New Roman" w:hAnsi="Times New Roman" w:cs="Times New Roman"/>
          <w:i/>
        </w:rPr>
        <w:t>Capitanio</w:t>
      </w:r>
      <w:proofErr w:type="spellEnd"/>
      <w:r w:rsidR="007F03A4" w:rsidRPr="00966313">
        <w:rPr>
          <w:rFonts w:ascii="Times New Roman" w:hAnsi="Times New Roman" w:cs="Times New Roman"/>
          <w:i/>
        </w:rPr>
        <w:t>” di Piove di Sacco: scuola dell’infanzia e primaria</w:t>
      </w:r>
      <w:r w:rsidR="007F03A4" w:rsidRPr="00966313">
        <w:rPr>
          <w:rFonts w:ascii="Times New Roman" w:hAnsi="Times New Roman" w:cs="Times New Roman"/>
        </w:rPr>
        <w:t xml:space="preserve">; C.M. </w:t>
      </w:r>
      <w:r w:rsidRPr="00966313">
        <w:rPr>
          <w:rFonts w:ascii="Times New Roman" w:hAnsi="Times New Roman" w:cs="Times New Roman"/>
        </w:rPr>
        <w:t>Fedeli,</w:t>
      </w:r>
      <w:r w:rsidR="007F03A4" w:rsidRPr="00966313">
        <w:rPr>
          <w:rFonts w:ascii="Times New Roman" w:hAnsi="Times New Roman" w:cs="Times New Roman"/>
        </w:rPr>
        <w:t xml:space="preserve"> </w:t>
      </w:r>
      <w:r w:rsidR="007F03A4" w:rsidRPr="00966313">
        <w:rPr>
          <w:rFonts w:ascii="Times New Roman" w:hAnsi="Times New Roman" w:cs="Times New Roman"/>
          <w:i/>
        </w:rPr>
        <w:t xml:space="preserve">Il bene prezioso dell’educazione in due scuole paritarie di </w:t>
      </w:r>
      <w:proofErr w:type="spellStart"/>
      <w:r w:rsidR="007F03A4" w:rsidRPr="00966313">
        <w:rPr>
          <w:rFonts w:ascii="Times New Roman" w:hAnsi="Times New Roman" w:cs="Times New Roman"/>
          <w:i/>
        </w:rPr>
        <w:t>Cdo</w:t>
      </w:r>
      <w:proofErr w:type="spellEnd"/>
      <w:r w:rsidR="007F03A4" w:rsidRPr="00966313">
        <w:rPr>
          <w:rFonts w:ascii="Times New Roman" w:hAnsi="Times New Roman" w:cs="Times New Roman"/>
          <w:i/>
        </w:rPr>
        <w:t xml:space="preserve"> Opere Educative</w:t>
      </w:r>
      <w:r w:rsidR="007F03A4" w:rsidRPr="00966313">
        <w:rPr>
          <w:rFonts w:ascii="Times New Roman" w:hAnsi="Times New Roman" w:cs="Times New Roman"/>
        </w:rPr>
        <w:t>;</w:t>
      </w:r>
      <w:r w:rsidRPr="00966313">
        <w:rPr>
          <w:rFonts w:ascii="Times New Roman" w:hAnsi="Times New Roman" w:cs="Times New Roman"/>
        </w:rPr>
        <w:t xml:space="preserve"> </w:t>
      </w:r>
      <w:r w:rsidR="007F03A4" w:rsidRPr="00966313">
        <w:rPr>
          <w:rFonts w:ascii="Times New Roman" w:hAnsi="Times New Roman" w:cs="Times New Roman"/>
        </w:rPr>
        <w:t xml:space="preserve">L. </w:t>
      </w:r>
      <w:r w:rsidRPr="00966313">
        <w:rPr>
          <w:rFonts w:ascii="Times New Roman" w:hAnsi="Times New Roman" w:cs="Times New Roman"/>
        </w:rPr>
        <w:t>Giglio</w:t>
      </w:r>
      <w:r w:rsidR="007F03A4" w:rsidRPr="00966313">
        <w:rPr>
          <w:rFonts w:ascii="Times New Roman" w:hAnsi="Times New Roman" w:cs="Times New Roman"/>
        </w:rPr>
        <w:t xml:space="preserve">, </w:t>
      </w:r>
      <w:r w:rsidR="007F03A4" w:rsidRPr="00966313">
        <w:rPr>
          <w:rFonts w:ascii="Times New Roman" w:hAnsi="Times New Roman" w:cs="Times New Roman"/>
          <w:i/>
        </w:rPr>
        <w:t xml:space="preserve">I giovani al centro nella formazione professionale </w:t>
      </w:r>
      <w:proofErr w:type="spellStart"/>
      <w:r w:rsidR="007F03A4" w:rsidRPr="00966313">
        <w:rPr>
          <w:rFonts w:ascii="Times New Roman" w:hAnsi="Times New Roman" w:cs="Times New Roman"/>
          <w:i/>
        </w:rPr>
        <w:t>Engim</w:t>
      </w:r>
      <w:proofErr w:type="spellEnd"/>
      <w:r w:rsidR="007F03A4" w:rsidRPr="00966313">
        <w:rPr>
          <w:rFonts w:ascii="Times New Roman" w:hAnsi="Times New Roman" w:cs="Times New Roman"/>
        </w:rPr>
        <w:t>.</w:t>
      </w:r>
    </w:p>
  </w:footnote>
  <w:footnote w:id="16">
    <w:p w:rsidR="008F5C98" w:rsidRPr="00966313" w:rsidRDefault="008F5C98"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7F03A4" w:rsidRPr="00966313">
        <w:rPr>
          <w:rFonts w:ascii="Times New Roman" w:hAnsi="Times New Roman" w:cs="Times New Roman"/>
        </w:rPr>
        <w:t xml:space="preserve">Cfr. sopra M. </w:t>
      </w:r>
      <w:r w:rsidRPr="00966313">
        <w:rPr>
          <w:rFonts w:ascii="Times New Roman" w:hAnsi="Times New Roman" w:cs="Times New Roman"/>
        </w:rPr>
        <w:t>Masi</w:t>
      </w:r>
      <w:r w:rsidR="007F03A4" w:rsidRPr="00966313">
        <w:rPr>
          <w:rFonts w:ascii="Times New Roman" w:hAnsi="Times New Roman" w:cs="Times New Roman"/>
        </w:rPr>
        <w:t xml:space="preserve">, </w:t>
      </w:r>
      <w:r w:rsidR="007F03A4" w:rsidRPr="00966313">
        <w:rPr>
          <w:rFonts w:ascii="Times New Roman" w:hAnsi="Times New Roman" w:cs="Times New Roman"/>
          <w:i/>
        </w:rPr>
        <w:t>Come rendere effettiva la libertà di educare alla libertà</w:t>
      </w:r>
      <w:r w:rsidR="007F03A4" w:rsidRPr="00966313">
        <w:rPr>
          <w:rFonts w:ascii="Times New Roman" w:hAnsi="Times New Roman" w:cs="Times New Roman"/>
        </w:rPr>
        <w:t>.</w:t>
      </w:r>
    </w:p>
  </w:footnote>
  <w:footnote w:id="17">
    <w:p w:rsidR="008F5C98" w:rsidRPr="00966313" w:rsidRDefault="008F5C98"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114137" w:rsidRPr="00966313">
        <w:rPr>
          <w:rFonts w:ascii="Times New Roman" w:hAnsi="Times New Roman" w:cs="Times New Roman"/>
        </w:rPr>
        <w:t xml:space="preserve">Cfr. sopra A.M. </w:t>
      </w:r>
      <w:r w:rsidRPr="00966313">
        <w:rPr>
          <w:rFonts w:ascii="Times New Roman" w:hAnsi="Times New Roman" w:cs="Times New Roman"/>
        </w:rPr>
        <w:t>Alfieri</w:t>
      </w:r>
      <w:r w:rsidR="00114137" w:rsidRPr="00966313">
        <w:rPr>
          <w:rFonts w:ascii="Times New Roman" w:hAnsi="Times New Roman" w:cs="Times New Roman"/>
        </w:rPr>
        <w:t xml:space="preserve">, </w:t>
      </w:r>
      <w:r w:rsidR="00114137" w:rsidRPr="00966313">
        <w:rPr>
          <w:rFonts w:ascii="Times New Roman" w:hAnsi="Times New Roman" w:cs="Times New Roman"/>
          <w:i/>
        </w:rPr>
        <w:t>Il costo standard per migliorare l’efficienza del sistema</w:t>
      </w:r>
      <w:r w:rsidR="00114137" w:rsidRPr="00966313">
        <w:rPr>
          <w:rFonts w:ascii="Times New Roman" w:hAnsi="Times New Roman" w:cs="Times New Roman"/>
        </w:rPr>
        <w:t>.</w:t>
      </w:r>
    </w:p>
  </w:footnote>
  <w:footnote w:id="18">
    <w:p w:rsidR="008F5C98" w:rsidRPr="00966313" w:rsidRDefault="008F5C98" w:rsidP="00587D0E">
      <w:pPr>
        <w:pStyle w:val="Testonotaapidipagina"/>
        <w:jc w:val="both"/>
        <w:rPr>
          <w:rFonts w:ascii="Times New Roman" w:hAnsi="Times New Roman" w:cs="Times New Roman"/>
        </w:rPr>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114137" w:rsidRPr="00966313">
        <w:rPr>
          <w:rFonts w:ascii="Times New Roman" w:hAnsi="Times New Roman" w:cs="Times New Roman"/>
        </w:rPr>
        <w:t>Cfr. sopra G.</w:t>
      </w:r>
      <w:r w:rsidR="00002E6C">
        <w:rPr>
          <w:rFonts w:ascii="Times New Roman" w:hAnsi="Times New Roman" w:cs="Times New Roman"/>
        </w:rPr>
        <w:t>M.</w:t>
      </w:r>
      <w:r w:rsidR="00114137" w:rsidRPr="00966313">
        <w:rPr>
          <w:rFonts w:ascii="Times New Roman" w:hAnsi="Times New Roman" w:cs="Times New Roman"/>
        </w:rPr>
        <w:t xml:space="preserve"> </w:t>
      </w:r>
      <w:r w:rsidRPr="00966313">
        <w:rPr>
          <w:rFonts w:ascii="Times New Roman" w:hAnsi="Times New Roman" w:cs="Times New Roman"/>
        </w:rPr>
        <w:t>Salerno</w:t>
      </w:r>
      <w:r w:rsidR="00114137" w:rsidRPr="00966313">
        <w:rPr>
          <w:rFonts w:ascii="Times New Roman" w:hAnsi="Times New Roman" w:cs="Times New Roman"/>
        </w:rPr>
        <w:t xml:space="preserve">, </w:t>
      </w:r>
      <w:r w:rsidR="00114137" w:rsidRPr="00966313">
        <w:rPr>
          <w:rFonts w:ascii="Times New Roman" w:hAnsi="Times New Roman" w:cs="Times New Roman"/>
          <w:i/>
        </w:rPr>
        <w:t xml:space="preserve">Per una proposta condivisa di Unità di Costo Standard nella </w:t>
      </w:r>
      <w:proofErr w:type="spellStart"/>
      <w:r w:rsidR="00114137" w:rsidRPr="00966313">
        <w:rPr>
          <w:rFonts w:ascii="Times New Roman" w:hAnsi="Times New Roman" w:cs="Times New Roman"/>
          <w:i/>
        </w:rPr>
        <w:t>IeFP</w:t>
      </w:r>
      <w:proofErr w:type="spellEnd"/>
      <w:r w:rsidR="00114137" w:rsidRPr="00966313">
        <w:rPr>
          <w:rFonts w:ascii="Times New Roman" w:hAnsi="Times New Roman" w:cs="Times New Roman"/>
        </w:rPr>
        <w:t>.</w:t>
      </w:r>
    </w:p>
  </w:footnote>
  <w:footnote w:id="19">
    <w:p w:rsidR="008F5C98" w:rsidRDefault="008F5C98" w:rsidP="00587D0E">
      <w:pPr>
        <w:pStyle w:val="Testonotaapidipagina"/>
        <w:jc w:val="both"/>
      </w:pPr>
      <w:r w:rsidRPr="00966313">
        <w:rPr>
          <w:rStyle w:val="Rimandonotaapidipagina"/>
          <w:rFonts w:ascii="Times New Roman" w:hAnsi="Times New Roman" w:cs="Times New Roman"/>
        </w:rPr>
        <w:footnoteRef/>
      </w:r>
      <w:r w:rsidRPr="00966313">
        <w:rPr>
          <w:rFonts w:ascii="Times New Roman" w:hAnsi="Times New Roman" w:cs="Times New Roman"/>
        </w:rPr>
        <w:t xml:space="preserve"> </w:t>
      </w:r>
      <w:r w:rsidR="00114137" w:rsidRPr="00966313">
        <w:rPr>
          <w:rFonts w:ascii="Times New Roman" w:hAnsi="Times New Roman" w:cs="Times New Roman"/>
        </w:rPr>
        <w:t xml:space="preserve">Cfr. sopra E. </w:t>
      </w:r>
      <w:r w:rsidRPr="00966313">
        <w:rPr>
          <w:rFonts w:ascii="Times New Roman" w:hAnsi="Times New Roman" w:cs="Times New Roman"/>
        </w:rPr>
        <w:t>Mainardi</w:t>
      </w:r>
      <w:r w:rsidR="00114137" w:rsidRPr="00966313">
        <w:rPr>
          <w:rFonts w:ascii="Times New Roman" w:hAnsi="Times New Roman" w:cs="Times New Roman"/>
        </w:rPr>
        <w:t xml:space="preserve">, </w:t>
      </w:r>
      <w:r w:rsidR="00114137" w:rsidRPr="00966313">
        <w:rPr>
          <w:rFonts w:ascii="Times New Roman" w:hAnsi="Times New Roman" w:cs="Times New Roman"/>
          <w:i/>
        </w:rPr>
        <w:t>Breve storia del buono-scuola</w:t>
      </w:r>
      <w:r w:rsidR="00114137" w:rsidRPr="00966313">
        <w:rPr>
          <w:rFonts w:ascii="Times New Roman" w:hAnsi="Times New Roman" w:cs="Times New Roman"/>
        </w:rPr>
        <w:t xml:space="preserve">; U. </w:t>
      </w:r>
      <w:proofErr w:type="spellStart"/>
      <w:r w:rsidR="00114137" w:rsidRPr="00966313">
        <w:rPr>
          <w:rFonts w:ascii="Times New Roman" w:hAnsi="Times New Roman" w:cs="Times New Roman"/>
        </w:rPr>
        <w:t>Lessio</w:t>
      </w:r>
      <w:proofErr w:type="spellEnd"/>
      <w:r w:rsidR="00114137" w:rsidRPr="00966313">
        <w:rPr>
          <w:rFonts w:ascii="Times New Roman" w:hAnsi="Times New Roman" w:cs="Times New Roman"/>
        </w:rPr>
        <w:t xml:space="preserve">, </w:t>
      </w:r>
      <w:r w:rsidR="00114137" w:rsidRPr="00966313">
        <w:rPr>
          <w:rFonts w:ascii="Times New Roman" w:hAnsi="Times New Roman" w:cs="Times New Roman"/>
          <w:i/>
        </w:rPr>
        <w:t>Convenzioni: la legittimità del sostegno economico dei Comuni alle scuole dell’infanzia paritarie</w:t>
      </w:r>
      <w:r w:rsidR="00114137" w:rsidRPr="00966313">
        <w:rPr>
          <w:rFonts w:ascii="Times New Roman" w:hAnsi="Times New Roman" w:cs="Times New Roman"/>
        </w:rPr>
        <w:t xml:space="preserve">; V. Kaladich, </w:t>
      </w:r>
      <w:r w:rsidR="00114137" w:rsidRPr="00966313">
        <w:rPr>
          <w:rFonts w:ascii="Times New Roman" w:hAnsi="Times New Roman" w:cs="Times New Roman"/>
          <w:i/>
        </w:rPr>
        <w:t>Le convenzioni per le scuole primarie</w:t>
      </w:r>
      <w:r w:rsidR="00114137" w:rsidRPr="00966313">
        <w:rPr>
          <w:rFonts w:ascii="Times New Roman" w:hAnsi="Times New Roman" w:cs="Times New Roman"/>
        </w:rPr>
        <w:t xml:space="preserve">; E. Mainardi, </w:t>
      </w:r>
      <w:r w:rsidR="00114137" w:rsidRPr="00966313">
        <w:rPr>
          <w:rFonts w:ascii="Times New Roman" w:hAnsi="Times New Roman" w:cs="Times New Roman"/>
          <w:i/>
        </w:rPr>
        <w:t>Agev</w:t>
      </w:r>
      <w:r w:rsidR="00114137" w:rsidRPr="00966313">
        <w:rPr>
          <w:rFonts w:ascii="Times New Roman" w:hAnsi="Times New Roman" w:cs="Times New Roman"/>
          <w:i/>
        </w:rPr>
        <w:t>o</w:t>
      </w:r>
      <w:r w:rsidR="00114137" w:rsidRPr="00966313">
        <w:rPr>
          <w:rFonts w:ascii="Times New Roman" w:hAnsi="Times New Roman" w:cs="Times New Roman"/>
          <w:i/>
        </w:rPr>
        <w:t>lazioni fiscali per le spese scolastiche</w:t>
      </w:r>
      <w:r w:rsidR="00114137" w:rsidRPr="00966313">
        <w:rPr>
          <w:rFonts w:ascii="Times New Roman" w:hAnsi="Times New Roman" w:cs="Times New Roman"/>
        </w:rPr>
        <w:t>.</w:t>
      </w:r>
      <w:r w:rsidRPr="00966313">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B79A4"/>
    <w:multiLevelType w:val="hybridMultilevel"/>
    <w:tmpl w:val="D9C87C4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C7"/>
    <w:rsid w:val="00002E6C"/>
    <w:rsid w:val="00006C66"/>
    <w:rsid w:val="00047DC7"/>
    <w:rsid w:val="00060715"/>
    <w:rsid w:val="00074820"/>
    <w:rsid w:val="00095891"/>
    <w:rsid w:val="00114137"/>
    <w:rsid w:val="0014137F"/>
    <w:rsid w:val="00152838"/>
    <w:rsid w:val="00166650"/>
    <w:rsid w:val="00193BB8"/>
    <w:rsid w:val="001E0965"/>
    <w:rsid w:val="0021215E"/>
    <w:rsid w:val="00217391"/>
    <w:rsid w:val="00294716"/>
    <w:rsid w:val="002C6468"/>
    <w:rsid w:val="002E3235"/>
    <w:rsid w:val="002E78E9"/>
    <w:rsid w:val="00301A7E"/>
    <w:rsid w:val="00314F34"/>
    <w:rsid w:val="003177F4"/>
    <w:rsid w:val="00331106"/>
    <w:rsid w:val="003831AD"/>
    <w:rsid w:val="003A2433"/>
    <w:rsid w:val="0042289A"/>
    <w:rsid w:val="004A15C6"/>
    <w:rsid w:val="00513F36"/>
    <w:rsid w:val="005574B7"/>
    <w:rsid w:val="00587D0E"/>
    <w:rsid w:val="00593F3D"/>
    <w:rsid w:val="005F4763"/>
    <w:rsid w:val="00606D6A"/>
    <w:rsid w:val="00655EDD"/>
    <w:rsid w:val="00665189"/>
    <w:rsid w:val="006D0C8A"/>
    <w:rsid w:val="00745797"/>
    <w:rsid w:val="007823ED"/>
    <w:rsid w:val="007A529B"/>
    <w:rsid w:val="007A6C6D"/>
    <w:rsid w:val="007E5C23"/>
    <w:rsid w:val="007E7DCC"/>
    <w:rsid w:val="007F03A4"/>
    <w:rsid w:val="008042C7"/>
    <w:rsid w:val="00813E90"/>
    <w:rsid w:val="00836FE9"/>
    <w:rsid w:val="008879E8"/>
    <w:rsid w:val="008D74AC"/>
    <w:rsid w:val="008F5C98"/>
    <w:rsid w:val="00966313"/>
    <w:rsid w:val="00976BE2"/>
    <w:rsid w:val="00982694"/>
    <w:rsid w:val="009D3902"/>
    <w:rsid w:val="00A4413D"/>
    <w:rsid w:val="00AC5A78"/>
    <w:rsid w:val="00AD55AD"/>
    <w:rsid w:val="00AE763B"/>
    <w:rsid w:val="00B86208"/>
    <w:rsid w:val="00B9532B"/>
    <w:rsid w:val="00B97332"/>
    <w:rsid w:val="00C14D4C"/>
    <w:rsid w:val="00C23C5E"/>
    <w:rsid w:val="00C359CF"/>
    <w:rsid w:val="00CC2BF6"/>
    <w:rsid w:val="00CE4712"/>
    <w:rsid w:val="00D1058D"/>
    <w:rsid w:val="00D16739"/>
    <w:rsid w:val="00D16E71"/>
    <w:rsid w:val="00D23E8A"/>
    <w:rsid w:val="00D3004B"/>
    <w:rsid w:val="00D535A8"/>
    <w:rsid w:val="00D62947"/>
    <w:rsid w:val="00DA0A94"/>
    <w:rsid w:val="00DB5922"/>
    <w:rsid w:val="00DE7951"/>
    <w:rsid w:val="00E10E2A"/>
    <w:rsid w:val="00E14724"/>
    <w:rsid w:val="00E31720"/>
    <w:rsid w:val="00E369A5"/>
    <w:rsid w:val="00E37BF0"/>
    <w:rsid w:val="00E62967"/>
    <w:rsid w:val="00E67A64"/>
    <w:rsid w:val="00EB6C14"/>
    <w:rsid w:val="00ED6C56"/>
    <w:rsid w:val="00F0265D"/>
    <w:rsid w:val="00F625CD"/>
    <w:rsid w:val="00F77E94"/>
    <w:rsid w:val="00FD2A8F"/>
    <w:rsid w:val="00FF3D7A"/>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7DCC"/>
    <w:pPr>
      <w:ind w:left="720"/>
      <w:contextualSpacing/>
    </w:pPr>
  </w:style>
  <w:style w:type="paragraph" w:styleId="Testonotaapidipagina">
    <w:name w:val="footnote text"/>
    <w:basedOn w:val="Normale"/>
    <w:link w:val="TestonotaapidipaginaCarattere"/>
    <w:uiPriority w:val="99"/>
    <w:semiHidden/>
    <w:unhideWhenUsed/>
    <w:rsid w:val="00EB6C14"/>
    <w:rPr>
      <w:sz w:val="20"/>
      <w:szCs w:val="20"/>
    </w:rPr>
  </w:style>
  <w:style w:type="character" w:customStyle="1" w:styleId="TestonotaapidipaginaCarattere">
    <w:name w:val="Testo nota a piè di pagina Carattere"/>
    <w:basedOn w:val="Carpredefinitoparagrafo"/>
    <w:link w:val="Testonotaapidipagina"/>
    <w:uiPriority w:val="99"/>
    <w:semiHidden/>
    <w:rsid w:val="00EB6C14"/>
    <w:rPr>
      <w:sz w:val="20"/>
      <w:szCs w:val="20"/>
    </w:rPr>
  </w:style>
  <w:style w:type="character" w:styleId="Rimandonotaapidipagina">
    <w:name w:val="footnote reference"/>
    <w:basedOn w:val="Carpredefinitoparagrafo"/>
    <w:uiPriority w:val="99"/>
    <w:semiHidden/>
    <w:unhideWhenUsed/>
    <w:rsid w:val="00EB6C14"/>
    <w:rPr>
      <w:vertAlign w:val="superscript"/>
    </w:rPr>
  </w:style>
  <w:style w:type="table" w:styleId="Grigliatabella">
    <w:name w:val="Table Grid"/>
    <w:basedOn w:val="Tabellanormale"/>
    <w:uiPriority w:val="59"/>
    <w:rsid w:val="00982694"/>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7DCC"/>
    <w:pPr>
      <w:ind w:left="720"/>
      <w:contextualSpacing/>
    </w:pPr>
  </w:style>
  <w:style w:type="paragraph" w:styleId="Testonotaapidipagina">
    <w:name w:val="footnote text"/>
    <w:basedOn w:val="Normale"/>
    <w:link w:val="TestonotaapidipaginaCarattere"/>
    <w:uiPriority w:val="99"/>
    <w:semiHidden/>
    <w:unhideWhenUsed/>
    <w:rsid w:val="00EB6C14"/>
    <w:rPr>
      <w:sz w:val="20"/>
      <w:szCs w:val="20"/>
    </w:rPr>
  </w:style>
  <w:style w:type="character" w:customStyle="1" w:styleId="TestonotaapidipaginaCarattere">
    <w:name w:val="Testo nota a piè di pagina Carattere"/>
    <w:basedOn w:val="Carpredefinitoparagrafo"/>
    <w:link w:val="Testonotaapidipagina"/>
    <w:uiPriority w:val="99"/>
    <w:semiHidden/>
    <w:rsid w:val="00EB6C14"/>
    <w:rPr>
      <w:sz w:val="20"/>
      <w:szCs w:val="20"/>
    </w:rPr>
  </w:style>
  <w:style w:type="character" w:styleId="Rimandonotaapidipagina">
    <w:name w:val="footnote reference"/>
    <w:basedOn w:val="Carpredefinitoparagrafo"/>
    <w:uiPriority w:val="99"/>
    <w:semiHidden/>
    <w:unhideWhenUsed/>
    <w:rsid w:val="00EB6C14"/>
    <w:rPr>
      <w:vertAlign w:val="superscript"/>
    </w:rPr>
  </w:style>
  <w:style w:type="table" w:styleId="Grigliatabella">
    <w:name w:val="Table Grid"/>
    <w:basedOn w:val="Tabellanormale"/>
    <w:uiPriority w:val="59"/>
    <w:rsid w:val="00982694"/>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26A02-776A-4DE8-84A9-611F45EA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2408</Words>
  <Characters>13731</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Cicatelli</dc:creator>
  <cp:lastModifiedBy>Paola Fabriani</cp:lastModifiedBy>
  <cp:revision>2</cp:revision>
  <dcterms:created xsi:type="dcterms:W3CDTF">2017-10-18T06:44:00Z</dcterms:created>
  <dcterms:modified xsi:type="dcterms:W3CDTF">2017-10-18T06:44:00Z</dcterms:modified>
</cp:coreProperties>
</file>