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B43F" w14:textId="7EE576BC" w:rsidR="007F4D2D" w:rsidRDefault="007F4D2D" w:rsidP="007F4D2D">
      <w:pPr>
        <w:outlineLvl w:val="0"/>
      </w:pPr>
      <w:bookmarkStart w:id="0" w:name="_GoBack"/>
      <w:bookmarkEnd w:id="0"/>
      <w:r>
        <w:t>Centro Studi per la Scuola Cattolica</w:t>
      </w:r>
    </w:p>
    <w:p w14:paraId="47BA275A" w14:textId="736FC71A" w:rsidR="007F4D2D" w:rsidRPr="007F4D2D" w:rsidRDefault="007F4D2D" w:rsidP="007F4D2D">
      <w:pPr>
        <w:outlineLvl w:val="0"/>
        <w:rPr>
          <w:b/>
        </w:rPr>
      </w:pPr>
      <w:r w:rsidRPr="007F4D2D">
        <w:rPr>
          <w:b/>
        </w:rPr>
        <w:t xml:space="preserve">Competenze Trasversali - La sfida educativa delle Soft </w:t>
      </w:r>
      <w:proofErr w:type="spellStart"/>
      <w:r w:rsidRPr="007F4D2D">
        <w:rPr>
          <w:b/>
        </w:rPr>
        <w:t>Skill</w:t>
      </w:r>
      <w:proofErr w:type="spellEnd"/>
    </w:p>
    <w:p w14:paraId="7D7FFD7D" w14:textId="4B84935E" w:rsidR="005E0AE8" w:rsidRPr="007F4D2D" w:rsidRDefault="007F4D2D" w:rsidP="007F4D2D">
      <w:pPr>
        <w:rPr>
          <w:sz w:val="20"/>
          <w:szCs w:val="20"/>
        </w:rPr>
      </w:pPr>
      <w:r w:rsidRPr="007F4D2D">
        <w:rPr>
          <w:sz w:val="20"/>
          <w:szCs w:val="20"/>
        </w:rPr>
        <w:t>Roma 24 febbraio 2018</w:t>
      </w:r>
    </w:p>
    <w:p w14:paraId="1106E3E2" w14:textId="77777777" w:rsidR="007F4D2D" w:rsidRDefault="007F4D2D" w:rsidP="00160E10">
      <w:pPr>
        <w:jc w:val="both"/>
      </w:pPr>
    </w:p>
    <w:p w14:paraId="22D53AA9" w14:textId="16C52B4B" w:rsidR="007F4D2D" w:rsidRPr="007F4D2D" w:rsidRDefault="007F4D2D" w:rsidP="007F4D2D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Formare soft </w:t>
      </w:r>
      <w:proofErr w:type="spellStart"/>
      <w:r>
        <w:rPr>
          <w:b/>
        </w:rPr>
        <w:t>skill</w:t>
      </w:r>
      <w:proofErr w:type="spellEnd"/>
      <w:r>
        <w:rPr>
          <w:b/>
        </w:rPr>
        <w:t xml:space="preserve"> </w:t>
      </w:r>
      <w:r w:rsidRPr="007F4D2D">
        <w:rPr>
          <w:b/>
        </w:rPr>
        <w:t>nel primo ciclo di istruzione</w:t>
      </w:r>
    </w:p>
    <w:p w14:paraId="37CEEDB4" w14:textId="416AAD2F" w:rsidR="007F4D2D" w:rsidRPr="007F4D2D" w:rsidRDefault="007F4D2D" w:rsidP="007F4D2D">
      <w:pPr>
        <w:outlineLvl w:val="0"/>
        <w:rPr>
          <w:sz w:val="20"/>
          <w:szCs w:val="20"/>
        </w:rPr>
      </w:pPr>
      <w:r w:rsidRPr="007F4D2D">
        <w:rPr>
          <w:sz w:val="20"/>
          <w:szCs w:val="20"/>
        </w:rPr>
        <w:t>Prof.ssa Maria CINQUE, Università Lumsa, Roma</w:t>
      </w:r>
    </w:p>
    <w:p w14:paraId="52E979BA" w14:textId="77777777" w:rsidR="007F4D2D" w:rsidRDefault="007F4D2D" w:rsidP="00160E10">
      <w:pPr>
        <w:jc w:val="both"/>
      </w:pPr>
    </w:p>
    <w:p w14:paraId="1C24996A" w14:textId="7CC0450D" w:rsidR="00160E10" w:rsidRDefault="00160E10" w:rsidP="00160E10">
      <w:pPr>
        <w:jc w:val="both"/>
      </w:pPr>
      <w:r>
        <w:t xml:space="preserve">Negli ultimi anni molte ricerche (ISFOL, 2012; Luzzatto et al., 2012; Manpower Group, 2014; Levy, </w:t>
      </w:r>
      <w:proofErr w:type="spellStart"/>
      <w:r>
        <w:t>Cannon</w:t>
      </w:r>
      <w:proofErr w:type="spellEnd"/>
      <w:r>
        <w:t>, 2016) si sono concen</w:t>
      </w:r>
      <w:r w:rsidR="007F4D2D">
        <w:t xml:space="preserve">trate sul tema delle soft </w:t>
      </w:r>
      <w:proofErr w:type="spellStart"/>
      <w:r w:rsidR="007F4D2D">
        <w:t>skill</w:t>
      </w:r>
      <w:proofErr w:type="spellEnd"/>
      <w:r>
        <w:t>, soprattutto a causa di un’istanza, proveniente dal mondo del lavoro, che ha ridimensionato l’importanza delle competenze tecniche a favore di un insieme più ampio di abilità, spostando l’attenzione dal semplice “sapere” o “saper fare” alla complessità dell’agire (</w:t>
      </w:r>
      <w:proofErr w:type="spellStart"/>
      <w:r>
        <w:t>Ciappei</w:t>
      </w:r>
      <w:proofErr w:type="spellEnd"/>
      <w:r>
        <w:t>, Cinque, 2014).</w:t>
      </w:r>
    </w:p>
    <w:p w14:paraId="5ECC0C26" w14:textId="0ADCB1C8" w:rsidR="005E0AE8" w:rsidRDefault="00160E10" w:rsidP="00B66B78">
      <w:pPr>
        <w:jc w:val="both"/>
      </w:pPr>
      <w:r>
        <w:t>Il</w:t>
      </w:r>
      <w:r w:rsidR="005E0AE8">
        <w:t xml:space="preserve"> tema delle soft </w:t>
      </w:r>
      <w:proofErr w:type="spellStart"/>
      <w:r w:rsidR="007F4D2D">
        <w:t>skill</w:t>
      </w:r>
      <w:proofErr w:type="spellEnd"/>
      <w:r w:rsidR="005E0AE8">
        <w:t xml:space="preserve"> </w:t>
      </w:r>
      <w:r w:rsidR="005E5E94">
        <w:t>ha assunto particolare rilievo</w:t>
      </w:r>
      <w:r w:rsidR="005E0AE8">
        <w:t xml:space="preserve"> da quando sono stati pubblicati i risultati di varie ricerche e studi empirici, spesso condotti su esplicita indicazione di aziende, società di consulenza e servizi per l’impiego, che lamentano la mancanza di questo tipo di competenze nei giovani neolaureati.</w:t>
      </w:r>
      <w:r w:rsidR="005E5E94">
        <w:t xml:space="preserve"> U</w:t>
      </w:r>
      <w:r w:rsidR="005E0AE8">
        <w:t xml:space="preserve">na ricerca commissionata da </w:t>
      </w:r>
      <w:proofErr w:type="spellStart"/>
      <w:r w:rsidR="005E0AE8">
        <w:t>McKinsey</w:t>
      </w:r>
      <w:proofErr w:type="spellEnd"/>
      <w:r w:rsidR="005E0AE8">
        <w:t xml:space="preserve"> nel 2014 ha dimostrato che proprio nei paesi in cui il tasso di disoccupazione è più altro (come l’Italia, la Spagna e la Grecia) il divario tra competenze richieste dalle aziende e competenze dei giovani neolaureati è più ampio, tanto che il rapporto afferma che aziende e università sembrano vivere in due universi paralleli: non parlano, non comunicano tra loro. </w:t>
      </w:r>
    </w:p>
    <w:p w14:paraId="50A31370" w14:textId="561C675B" w:rsidR="00BB3F9E" w:rsidRDefault="00BB3F9E" w:rsidP="00B66B78">
      <w:pPr>
        <w:jc w:val="both"/>
      </w:pPr>
      <w:r>
        <w:t xml:space="preserve">Molte raccomandazioni a livello di Unione Europea hanno sottolineato come queste soft </w:t>
      </w:r>
      <w:proofErr w:type="spellStart"/>
      <w:r w:rsidR="007F4D2D">
        <w:t>skill</w:t>
      </w:r>
      <w:proofErr w:type="spellEnd"/>
      <w:r>
        <w:t xml:space="preserve"> siano fondamentali nel mercato del lavoro e hanno suggerito alle università di puntare alla formazione “integrale” della persona.</w:t>
      </w:r>
    </w:p>
    <w:p w14:paraId="63D25A08" w14:textId="28331602" w:rsidR="004E163E" w:rsidRPr="00964FF4" w:rsidRDefault="00A42790" w:rsidP="00964FF4">
      <w:pPr>
        <w:jc w:val="both"/>
      </w:pPr>
      <w:r>
        <w:t xml:space="preserve">Tuttavia, come indicato da diversi studiosi, formare alle soft </w:t>
      </w:r>
      <w:proofErr w:type="spellStart"/>
      <w:r w:rsidR="007F4D2D">
        <w:t>skill</w:t>
      </w:r>
      <w:proofErr w:type="spellEnd"/>
      <w:r>
        <w:t xml:space="preserve"> all’università</w:t>
      </w:r>
      <w:r w:rsidR="005E5E94">
        <w:t xml:space="preserve"> potrebbe essere troppo tardi. </w:t>
      </w:r>
      <w:r w:rsidR="007F4D2D">
        <w:t xml:space="preserve">Occorre iniziare </w:t>
      </w:r>
      <w:r w:rsidR="005354FA">
        <w:t>prima: nel</w:t>
      </w:r>
      <w:r w:rsidR="00681172">
        <w:t xml:space="preserve"> primo ciclo di istruzione e, addirittura, </w:t>
      </w:r>
      <w:r w:rsidR="00964FF4">
        <w:t>nella primissima infanzia</w:t>
      </w:r>
      <w:r>
        <w:t>.</w:t>
      </w:r>
      <w:r w:rsidR="00964FF4">
        <w:t xml:space="preserve"> </w:t>
      </w:r>
      <w:r w:rsidR="005E5E94">
        <w:t xml:space="preserve">Sostenitore di questa tesi è, tra gli altri, </w:t>
      </w:r>
      <w:r w:rsidR="00964FF4">
        <w:t xml:space="preserve">James </w:t>
      </w:r>
      <w:proofErr w:type="spellStart"/>
      <w:r w:rsidR="00964FF4">
        <w:t>Heckman</w:t>
      </w:r>
      <w:proofErr w:type="spellEnd"/>
      <w:r w:rsidR="00964FF4">
        <w:t xml:space="preserve">, </w:t>
      </w:r>
      <w:r w:rsidR="00160E10">
        <w:t>premio Nobel per l’economia e autore in una famosa equazione,</w:t>
      </w:r>
      <w:r w:rsidR="00964FF4">
        <w:t xml:space="preserve"> secondo la quale </w:t>
      </w:r>
      <w:r w:rsidR="00964FF4" w:rsidRPr="00964FF4">
        <w:t>“</w:t>
      </w:r>
      <w:r w:rsidR="004E163E" w:rsidRPr="00964FF4">
        <w:t>le competenze che un individuo ha al tempo (t+1) sono determinate</w:t>
      </w:r>
      <w:r w:rsidR="00964FF4" w:rsidRPr="00964FF4">
        <w:t xml:space="preserve"> </w:t>
      </w:r>
      <w:r w:rsidR="004E163E" w:rsidRPr="00964FF4">
        <w:t>dall’interazione delle competenze sviluppate nel periodo precedente</w:t>
      </w:r>
      <w:r w:rsidR="00964FF4" w:rsidRPr="00964FF4">
        <w:t xml:space="preserve"> </w:t>
      </w:r>
      <w:r w:rsidR="004E163E" w:rsidRPr="00964FF4">
        <w:t>t, dall’investimento effettuato a favore della persona nel periodo</w:t>
      </w:r>
      <w:r w:rsidR="00964FF4" w:rsidRPr="00964FF4">
        <w:t xml:space="preserve"> </w:t>
      </w:r>
      <w:r w:rsidR="004E163E" w:rsidRPr="00964FF4">
        <w:t>t e dal contesto familiare di provenienza del ragazzo</w:t>
      </w:r>
      <w:r w:rsidR="00964FF4" w:rsidRPr="00964FF4">
        <w:t>”</w:t>
      </w:r>
      <w:r w:rsidR="00160E10">
        <w:t xml:space="preserve"> (</w:t>
      </w:r>
      <w:proofErr w:type="spellStart"/>
      <w:r w:rsidR="00160E10">
        <w:t>Heckman</w:t>
      </w:r>
      <w:proofErr w:type="spellEnd"/>
      <w:r w:rsidR="00160E10">
        <w:t xml:space="preserve">, </w:t>
      </w:r>
      <w:proofErr w:type="spellStart"/>
      <w:r w:rsidR="00160E10">
        <w:t>Kautz</w:t>
      </w:r>
      <w:proofErr w:type="spellEnd"/>
      <w:r w:rsidR="00160E10">
        <w:t>, 2013)</w:t>
      </w:r>
      <w:r w:rsidR="004E163E" w:rsidRPr="00964FF4">
        <w:t>.</w:t>
      </w:r>
    </w:p>
    <w:p w14:paraId="2609F35F" w14:textId="45B6A123" w:rsidR="00160E10" w:rsidRDefault="007F4D2D" w:rsidP="00160E10">
      <w:pPr>
        <w:jc w:val="both"/>
      </w:pPr>
      <w:proofErr w:type="spellStart"/>
      <w:r>
        <w:rPr>
          <w:i/>
        </w:rPr>
        <w:t>Skills</w:t>
      </w:r>
      <w:proofErr w:type="spellEnd"/>
      <w:r w:rsidR="00964FF4" w:rsidRPr="00964FF4">
        <w:rPr>
          <w:i/>
        </w:rPr>
        <w:t xml:space="preserve"> </w:t>
      </w:r>
      <w:proofErr w:type="spellStart"/>
      <w:r w:rsidR="00964FF4" w:rsidRPr="00964FF4">
        <w:rPr>
          <w:i/>
        </w:rPr>
        <w:t>beget</w:t>
      </w:r>
      <w:proofErr w:type="spellEnd"/>
      <w:r w:rsidR="00964FF4" w:rsidRPr="00964FF4">
        <w:rPr>
          <w:i/>
        </w:rPr>
        <w:t xml:space="preserve"> </w:t>
      </w:r>
      <w:proofErr w:type="spellStart"/>
      <w:r>
        <w:rPr>
          <w:i/>
        </w:rPr>
        <w:t>skills</w:t>
      </w:r>
      <w:proofErr w:type="spellEnd"/>
      <w:r w:rsidR="00964FF4">
        <w:t xml:space="preserve">, afferma </w:t>
      </w:r>
      <w:proofErr w:type="spellStart"/>
      <w:r w:rsidR="00964FF4">
        <w:t>Heckman</w:t>
      </w:r>
      <w:proofErr w:type="spellEnd"/>
      <w:r w:rsidR="00964FF4">
        <w:t xml:space="preserve">, ovvero “le competenze generano competenze” e ciò vale sia per le competenze cognitive che per quelle non cognitive o soft </w:t>
      </w:r>
      <w:proofErr w:type="spellStart"/>
      <w:r>
        <w:t>skill</w:t>
      </w:r>
      <w:proofErr w:type="spellEnd"/>
      <w:r w:rsidR="00964FF4">
        <w:t xml:space="preserve">. In un contributo del 2012, intitolato </w:t>
      </w:r>
      <w:r w:rsidR="00964FF4">
        <w:rPr>
          <w:i/>
        </w:rPr>
        <w:t xml:space="preserve">Hard </w:t>
      </w:r>
      <w:proofErr w:type="spellStart"/>
      <w:r w:rsidR="00B94555">
        <w:rPr>
          <w:i/>
        </w:rPr>
        <w:t>evidence</w:t>
      </w:r>
      <w:proofErr w:type="spellEnd"/>
      <w:r w:rsidR="00B94555">
        <w:rPr>
          <w:i/>
        </w:rPr>
        <w:t xml:space="preserve"> on soft </w:t>
      </w:r>
      <w:proofErr w:type="spellStart"/>
      <w:r>
        <w:rPr>
          <w:i/>
        </w:rPr>
        <w:t>skill</w:t>
      </w:r>
      <w:proofErr w:type="spellEnd"/>
      <w:r w:rsidR="00B94555">
        <w:t xml:space="preserve">, </w:t>
      </w:r>
      <w:proofErr w:type="spellStart"/>
      <w:r w:rsidR="00B94555">
        <w:t>Heckman</w:t>
      </w:r>
      <w:proofErr w:type="spellEnd"/>
      <w:r w:rsidR="00B94555">
        <w:t xml:space="preserve"> ha studiato le competenze di ragazzi che hanno abbandonato i percorsi scolastici tradizionali </w:t>
      </w:r>
      <w:r w:rsidR="005E5E94">
        <w:t>confrontandole con</w:t>
      </w:r>
      <w:r w:rsidR="00B94555">
        <w:t xml:space="preserve"> le competenze di coloro che hanno </w:t>
      </w:r>
      <w:r w:rsidR="00212474">
        <w:t>frequentato</w:t>
      </w:r>
      <w:r w:rsidR="00B94555">
        <w:t xml:space="preserve"> la scuola secondaria. Ciò che li differenzia sono proprio le competenze non cognitive che rafforzano, potenziano quelle cognitive e l’intelligenza.</w:t>
      </w:r>
      <w:r w:rsidR="00212474">
        <w:t xml:space="preserve"> </w:t>
      </w:r>
      <w:r w:rsidR="00160E10">
        <w:t xml:space="preserve">Secondo </w:t>
      </w:r>
      <w:proofErr w:type="spellStart"/>
      <w:r w:rsidR="00160E10">
        <w:t>Heckman</w:t>
      </w:r>
      <w:proofErr w:type="spellEnd"/>
      <w:r w:rsidR="00160E10">
        <w:t xml:space="preserve">: “[…] soft </w:t>
      </w:r>
      <w:proofErr w:type="spellStart"/>
      <w:r>
        <w:t>skill</w:t>
      </w:r>
      <w:proofErr w:type="spellEnd"/>
      <w:r w:rsidR="00160E10">
        <w:t xml:space="preserve"> sono tratti personali, obiettivi, motivazioni e preferenze che sono ritenuti importanti nel mercato del lavoro, ma anche a scuola e in altri ambiti (</w:t>
      </w:r>
      <w:proofErr w:type="spellStart"/>
      <w:r w:rsidR="00160E10">
        <w:t>Heckman</w:t>
      </w:r>
      <w:proofErr w:type="spellEnd"/>
      <w:r w:rsidR="00160E10">
        <w:t xml:space="preserve">, </w:t>
      </w:r>
      <w:proofErr w:type="spellStart"/>
      <w:r w:rsidR="00160E10">
        <w:t>Kautz</w:t>
      </w:r>
      <w:proofErr w:type="spellEnd"/>
      <w:r w:rsidR="00160E10">
        <w:t>, 2013, p. 452)</w:t>
      </w:r>
      <w:r w:rsidR="005E5E94">
        <w:t>.</w:t>
      </w:r>
    </w:p>
    <w:p w14:paraId="2AF3DF0D" w14:textId="384B7B6C" w:rsidR="00C905F3" w:rsidRDefault="00C905F3" w:rsidP="00B66B78">
      <w:pPr>
        <w:jc w:val="both"/>
      </w:pPr>
      <w:proofErr w:type="spellStart"/>
      <w:r>
        <w:t>Heckmann</w:t>
      </w:r>
      <w:proofErr w:type="spellEnd"/>
      <w:r>
        <w:t xml:space="preserve"> quindi afferma che tutti gli investimenti per </w:t>
      </w:r>
      <w:r w:rsidR="005B1365">
        <w:t>lo sviluppo del capitale umano arrivano delle volte troppo tardi, per riqualificare persone che hanno perso il lavoro, mentre andrebbero erogati prima, nella prima infanzia, soprattutto a sostegno delle famiglie svantaggiate.</w:t>
      </w:r>
    </w:p>
    <w:p w14:paraId="7E977132" w14:textId="7D4A724B" w:rsidR="007B71DE" w:rsidRDefault="007B71DE" w:rsidP="0031549E">
      <w:pPr>
        <w:jc w:val="both"/>
      </w:pPr>
      <w:r w:rsidRPr="00CF3E68">
        <w:t xml:space="preserve">Anche l’OCSE di recente ha affermato che le </w:t>
      </w:r>
      <w:proofErr w:type="spellStart"/>
      <w:r w:rsidR="007F4D2D">
        <w:t>skill</w:t>
      </w:r>
      <w:proofErr w:type="spellEnd"/>
      <w:r w:rsidRPr="00CF3E68">
        <w:t xml:space="preserve"> acqui</w:t>
      </w:r>
      <w:r w:rsidR="00CF3E68">
        <w:t xml:space="preserve">site nella prima infanzia sono </w:t>
      </w:r>
      <w:proofErr w:type="spellStart"/>
      <w:r w:rsidR="00CF3E68" w:rsidRPr="00CF3E68">
        <w:rPr>
          <w:i/>
        </w:rPr>
        <w:t>S</w:t>
      </w:r>
      <w:r w:rsidRPr="00CF3E68">
        <w:rPr>
          <w:i/>
        </w:rPr>
        <w:t>kills</w:t>
      </w:r>
      <w:proofErr w:type="spellEnd"/>
      <w:r w:rsidRPr="00CF3E68">
        <w:rPr>
          <w:i/>
        </w:rPr>
        <w:t xml:space="preserve"> for social progress</w:t>
      </w:r>
      <w:r w:rsidRPr="00CF3E68">
        <w:t xml:space="preserve"> (</w:t>
      </w:r>
      <w:r w:rsidR="002B1360">
        <w:t>OECD,</w:t>
      </w:r>
      <w:r w:rsidRPr="00CF3E68">
        <w:t xml:space="preserve"> 2015)</w:t>
      </w:r>
      <w:r w:rsidR="00CF3E68">
        <w:t>,</w:t>
      </w:r>
      <w:r w:rsidRPr="00CF3E68">
        <w:t xml:space="preserve"> ovvero competenze che contrib</w:t>
      </w:r>
      <w:r w:rsidR="007F4D2D">
        <w:t>uiscono al benessere individuale</w:t>
      </w:r>
      <w:r w:rsidRPr="00CF3E68">
        <w:t xml:space="preserve"> ma anche al progresso sociale.</w:t>
      </w:r>
      <w:r w:rsidR="008268BF">
        <w:t xml:space="preserve"> </w:t>
      </w:r>
      <w:r w:rsidR="009372D0">
        <w:t>Tale aspetto era già stato messo in evidenza dalle</w:t>
      </w:r>
      <w:r w:rsidR="008268BF">
        <w:t xml:space="preserve"> </w:t>
      </w:r>
      <w:r w:rsidR="0031549E" w:rsidRPr="0031549E">
        <w:rPr>
          <w:i/>
        </w:rPr>
        <w:t>Indicazioni nazionali per il curricolo della scuola dell’infanzia e del primo ciclo d’istruzione</w:t>
      </w:r>
      <w:r w:rsidR="0031549E">
        <w:rPr>
          <w:i/>
        </w:rPr>
        <w:t xml:space="preserve"> </w:t>
      </w:r>
      <w:r w:rsidR="0031549E">
        <w:t>(2012)</w:t>
      </w:r>
      <w:r w:rsidR="008268BF">
        <w:t xml:space="preserve">: </w:t>
      </w:r>
    </w:p>
    <w:p w14:paraId="0A74FE7F" w14:textId="5D163388" w:rsidR="008268BF" w:rsidRDefault="008268BF" w:rsidP="0031549E">
      <w:pPr>
        <w:jc w:val="both"/>
      </w:pPr>
      <w:r>
        <w:t>“</w:t>
      </w:r>
      <w:r w:rsidRPr="008268BF">
        <w:t>Le competenze sviluppate nell’ambito delle singole discipline concorrono a loro volta alla promozione di competenze più ampie e trasversali, che rappresentano una condizione essenziale per la piena realizzazione personale e per la partecipazione attiva alla vita sociale, orientate ai valori della conv</w:t>
      </w:r>
      <w:r>
        <w:t>ivenza civile e del bene comune” (</w:t>
      </w:r>
      <w:r>
        <w:rPr>
          <w:i/>
        </w:rPr>
        <w:t xml:space="preserve">Indicazioni </w:t>
      </w:r>
      <w:r w:rsidRPr="008268BF">
        <w:rPr>
          <w:i/>
        </w:rPr>
        <w:t>nazionali</w:t>
      </w:r>
      <w:r>
        <w:t xml:space="preserve">, </w:t>
      </w:r>
      <w:r w:rsidRPr="008268BF">
        <w:t>p</w:t>
      </w:r>
      <w:r>
        <w:t>. 26).</w:t>
      </w:r>
    </w:p>
    <w:p w14:paraId="4D24AD6D" w14:textId="5C70FA17" w:rsidR="009372D0" w:rsidRDefault="009372D0" w:rsidP="0031549E">
      <w:pPr>
        <w:jc w:val="both"/>
      </w:pPr>
      <w:r>
        <w:lastRenderedPageBreak/>
        <w:t>S</w:t>
      </w:r>
      <w:r w:rsidRPr="009372D0">
        <w:t>i rende, pertanto, necessario ripensare il modo di “fare scuola”, integrando la didattica dei contenuti e dei saperi – riferiti ai nuclei fondanti delle discipline – con modalità̀ interattive e costruttive di apprendimento. Fondando il proprio insegnamento su esperienze significative che mettono in gioco contenuti e procedure che consentano di “imparare facendo”, i docenti rendono l’alunno protagonista del processo di acquisizione delle competenze.</w:t>
      </w:r>
    </w:p>
    <w:p w14:paraId="0399D61D" w14:textId="402B89E0" w:rsidR="00C00B8D" w:rsidRPr="00C00B8D" w:rsidRDefault="00C00B8D" w:rsidP="00C00B8D">
      <w:pPr>
        <w:jc w:val="both"/>
      </w:pPr>
      <w:r w:rsidRPr="00C00B8D">
        <w:t>Relativamente alle modalità di accertamento dell’acquisizione di queste competenze –</w:t>
      </w:r>
      <w:r w:rsidR="000F093F">
        <w:t xml:space="preserve"> </w:t>
      </w:r>
      <w:r w:rsidRPr="00C00B8D">
        <w:t xml:space="preserve">espresse in termini di “comportamenti osservabili” piuttosto che di “conoscenze quantificabili” –, gli strumenti sono ancora in evoluzione e gli studi </w:t>
      </w:r>
      <w:r w:rsidR="000F093F">
        <w:t xml:space="preserve">sulla valutazione delle soft </w:t>
      </w:r>
      <w:proofErr w:type="spellStart"/>
      <w:r w:rsidR="000F093F">
        <w:t>skill</w:t>
      </w:r>
      <w:proofErr w:type="spellEnd"/>
      <w:r w:rsidRPr="00C00B8D">
        <w:t xml:space="preserve"> riguardano spesso più ambiti disciplinari, non solo quelli della pedagogia e della docimologia, della psicologia dello sviluppo, ma anche quelli della psicologia cognitiva e sociale.</w:t>
      </w:r>
    </w:p>
    <w:p w14:paraId="3FB7B688" w14:textId="77777777" w:rsidR="00C00B8D" w:rsidRPr="00C00B8D" w:rsidRDefault="00C00B8D" w:rsidP="00C00B8D">
      <w:pPr>
        <w:jc w:val="both"/>
      </w:pPr>
      <w:r w:rsidRPr="00C00B8D">
        <w:t>Oltre alla valutazione del docente (</w:t>
      </w:r>
      <w:proofErr w:type="spellStart"/>
      <w:r w:rsidRPr="00C00B8D">
        <w:rPr>
          <w:i/>
        </w:rPr>
        <w:t>teacher</w:t>
      </w:r>
      <w:proofErr w:type="spellEnd"/>
      <w:r w:rsidRPr="00C00B8D">
        <w:rPr>
          <w:i/>
        </w:rPr>
        <w:t xml:space="preserve"> </w:t>
      </w:r>
      <w:proofErr w:type="spellStart"/>
      <w:r w:rsidRPr="00C00B8D">
        <w:rPr>
          <w:i/>
        </w:rPr>
        <w:t>assessment</w:t>
      </w:r>
      <w:proofErr w:type="spellEnd"/>
      <w:r w:rsidRPr="00C00B8D">
        <w:t xml:space="preserve">), sono spesso previsti strumenti di </w:t>
      </w:r>
      <w:r w:rsidRPr="00C00B8D">
        <w:rPr>
          <w:i/>
        </w:rPr>
        <w:t xml:space="preserve">self </w:t>
      </w:r>
      <w:proofErr w:type="spellStart"/>
      <w:r w:rsidRPr="00C00B8D">
        <w:rPr>
          <w:i/>
        </w:rPr>
        <w:t>assessment</w:t>
      </w:r>
      <w:proofErr w:type="spellEnd"/>
      <w:r w:rsidRPr="00C00B8D">
        <w:rPr>
          <w:i/>
        </w:rPr>
        <w:t xml:space="preserve"> </w:t>
      </w:r>
      <w:r w:rsidRPr="00C00B8D">
        <w:t xml:space="preserve">e, talvolta, anche di </w:t>
      </w:r>
      <w:proofErr w:type="spellStart"/>
      <w:r w:rsidRPr="00C00B8D">
        <w:rPr>
          <w:i/>
        </w:rPr>
        <w:t>peer</w:t>
      </w:r>
      <w:proofErr w:type="spellEnd"/>
      <w:r w:rsidRPr="00C00B8D">
        <w:rPr>
          <w:i/>
        </w:rPr>
        <w:t xml:space="preserve"> </w:t>
      </w:r>
      <w:proofErr w:type="spellStart"/>
      <w:r w:rsidRPr="00C00B8D">
        <w:rPr>
          <w:i/>
        </w:rPr>
        <w:t>assessment</w:t>
      </w:r>
      <w:proofErr w:type="spellEnd"/>
      <w:r w:rsidRPr="00C00B8D">
        <w:rPr>
          <w:i/>
        </w:rPr>
        <w:t>.</w:t>
      </w:r>
      <w:r w:rsidRPr="00C00B8D">
        <w:t xml:space="preserve"> Tipicamente queste competenze prevedono soprattutto prove pratiche (</w:t>
      </w:r>
      <w:r w:rsidRPr="00C00B8D">
        <w:rPr>
          <w:i/>
        </w:rPr>
        <w:t xml:space="preserve">performance </w:t>
      </w:r>
      <w:proofErr w:type="spellStart"/>
      <w:r w:rsidRPr="00C00B8D">
        <w:rPr>
          <w:i/>
        </w:rPr>
        <w:t>assessment</w:t>
      </w:r>
      <w:proofErr w:type="spellEnd"/>
      <w:r w:rsidRPr="00C00B8D">
        <w:t xml:space="preserve">), simulazioni e laboratori, compresi i progetti e i portfolio, piuttosto che test o esami (scritti od orali) e le verifiche sono utilizzate per monitorare i progressi e migliorare i risultati ottenuti (accertamento formativo). Prevale dunque la valutazione di processo rispetto a quella di sistema mirata a verificare che lo studente abbia raggiunto i risultati di apprendimento previsti per l’unità didattica o il modulo (accertamento sommativo); si preferisce l’accertamento continuo (che può poi eventualmente confluire in un voto finale o nell’acquisizione di crediti finali) all’accertamento di profitto, basato su criteri prestabiliti. </w:t>
      </w:r>
    </w:p>
    <w:p w14:paraId="1E9CE214" w14:textId="4C7A5410" w:rsidR="00C00B8D" w:rsidRDefault="00C00B8D" w:rsidP="00B66B78">
      <w:pPr>
        <w:jc w:val="both"/>
      </w:pPr>
    </w:p>
    <w:p w14:paraId="0BF7CAC6" w14:textId="4E1D11EA" w:rsidR="009765E3" w:rsidRDefault="009765E3" w:rsidP="00B66B78">
      <w:pPr>
        <w:jc w:val="both"/>
        <w:rPr>
          <w:b/>
        </w:rPr>
      </w:pPr>
      <w:r>
        <w:rPr>
          <w:b/>
        </w:rPr>
        <w:t>Riferimenti bibliografici</w:t>
      </w:r>
    </w:p>
    <w:p w14:paraId="49436B9C" w14:textId="773A6A7D" w:rsidR="002B1360" w:rsidRPr="002B1360" w:rsidRDefault="002B1360" w:rsidP="000F093F">
      <w:pPr>
        <w:ind w:left="284" w:hanging="284"/>
      </w:pPr>
      <w:proofErr w:type="spellStart"/>
      <w:r w:rsidRPr="00E122EA">
        <w:t>Ciappei</w:t>
      </w:r>
      <w:proofErr w:type="spellEnd"/>
      <w:r w:rsidRPr="00E122EA">
        <w:t>, C., Cinque</w:t>
      </w:r>
      <w:r>
        <w:t>, M. (2014).</w:t>
      </w:r>
      <w:r w:rsidRPr="00E122EA">
        <w:t xml:space="preserve"> </w:t>
      </w:r>
      <w:r w:rsidRPr="00E122EA">
        <w:rPr>
          <w:i/>
        </w:rPr>
        <w:t xml:space="preserve">Soft </w:t>
      </w:r>
      <w:proofErr w:type="spellStart"/>
      <w:r w:rsidRPr="00E122EA">
        <w:rPr>
          <w:i/>
        </w:rPr>
        <w:t>skills</w:t>
      </w:r>
      <w:proofErr w:type="spellEnd"/>
      <w:r w:rsidRPr="00E122EA">
        <w:rPr>
          <w:i/>
        </w:rPr>
        <w:t xml:space="preserve"> per il governo dell’agire. La saggezza e le competenze prassico-pragmatiche</w:t>
      </w:r>
      <w:r w:rsidRPr="00E122EA">
        <w:t xml:space="preserve">. Milano, </w:t>
      </w:r>
      <w:proofErr w:type="spellStart"/>
      <w:r w:rsidRPr="00E122EA">
        <w:t>FrancoAngeli</w:t>
      </w:r>
      <w:proofErr w:type="spellEnd"/>
      <w:r w:rsidRPr="00E122EA">
        <w:t>.</w:t>
      </w:r>
    </w:p>
    <w:p w14:paraId="5A898D87" w14:textId="3A841CF5" w:rsidR="005354FA" w:rsidRPr="001C324D" w:rsidRDefault="005354FA" w:rsidP="000F093F">
      <w:pPr>
        <w:ind w:left="284" w:hanging="284"/>
        <w:rPr>
          <w:iCs/>
          <w:lang w:val="en-US"/>
        </w:rPr>
      </w:pPr>
      <w:r w:rsidRPr="000F093F">
        <w:rPr>
          <w:iCs/>
          <w:lang w:val="en-US"/>
        </w:rPr>
        <w:t xml:space="preserve">Heckman, J.J., </w:t>
      </w:r>
      <w:proofErr w:type="spellStart"/>
      <w:r w:rsidRPr="000F093F">
        <w:rPr>
          <w:iCs/>
          <w:lang w:val="en-US"/>
        </w:rPr>
        <w:t>Kautz</w:t>
      </w:r>
      <w:proofErr w:type="spellEnd"/>
      <w:r w:rsidRPr="000F093F">
        <w:rPr>
          <w:iCs/>
          <w:lang w:val="en-US"/>
        </w:rPr>
        <w:t xml:space="preserve">, T. (2013). </w:t>
      </w:r>
      <w:r w:rsidRPr="001C324D">
        <w:rPr>
          <w:iCs/>
          <w:lang w:val="en-US"/>
        </w:rPr>
        <w:t xml:space="preserve">Hard Evidence on Soft Skills, </w:t>
      </w:r>
      <w:proofErr w:type="spellStart"/>
      <w:r w:rsidRPr="001C324D">
        <w:rPr>
          <w:i/>
          <w:iCs/>
          <w:lang w:val="en-US"/>
        </w:rPr>
        <w:t>Labour</w:t>
      </w:r>
      <w:proofErr w:type="spellEnd"/>
      <w:r w:rsidRPr="001C324D">
        <w:rPr>
          <w:i/>
          <w:iCs/>
          <w:lang w:val="en-US"/>
        </w:rPr>
        <w:t xml:space="preserve"> Economics</w:t>
      </w:r>
      <w:r w:rsidRPr="001C324D">
        <w:rPr>
          <w:iCs/>
          <w:lang w:val="en-US"/>
        </w:rPr>
        <w:t>, 19(4), pp. 451-64.</w:t>
      </w:r>
    </w:p>
    <w:p w14:paraId="3E77B266" w14:textId="4946C492" w:rsidR="000F093F" w:rsidRDefault="000F093F" w:rsidP="000F093F">
      <w:pPr>
        <w:ind w:left="284" w:hanging="284"/>
        <w:jc w:val="both"/>
      </w:pPr>
      <w:r w:rsidRPr="000F093F">
        <w:rPr>
          <w:i/>
        </w:rPr>
        <w:t>Indicazioni nazionali per il curricolo della scuola dell’infanzia e del primo ciclo d’istruzione</w:t>
      </w:r>
      <w:r>
        <w:rPr>
          <w:i/>
        </w:rPr>
        <w:t xml:space="preserve"> </w:t>
      </w:r>
      <w:r>
        <w:t>(2012)</w:t>
      </w:r>
      <w:r w:rsidRPr="000F093F">
        <w:rPr>
          <w:i/>
        </w:rPr>
        <w:t>,</w:t>
      </w:r>
      <w:r w:rsidRPr="000F093F">
        <w:t xml:space="preserve"> “Annali della Pubblica Istruzione”, LXXXVIII, Numero speciale</w:t>
      </w:r>
      <w:r>
        <w:t xml:space="preserve">, Firenze: Le </w:t>
      </w:r>
      <w:proofErr w:type="spellStart"/>
      <w:r>
        <w:t>Monnier</w:t>
      </w:r>
      <w:proofErr w:type="spellEnd"/>
      <w:r>
        <w:t>.</w:t>
      </w:r>
    </w:p>
    <w:p w14:paraId="6F5E9863" w14:textId="77777777" w:rsidR="005354FA" w:rsidRDefault="005354FA" w:rsidP="000F093F">
      <w:pPr>
        <w:ind w:left="284" w:hanging="284"/>
        <w:rPr>
          <w:iCs/>
        </w:rPr>
      </w:pPr>
      <w:r>
        <w:rPr>
          <w:iCs/>
        </w:rPr>
        <w:t xml:space="preserve">ISFOL, </w:t>
      </w:r>
      <w:r w:rsidRPr="006C2E57">
        <w:rPr>
          <w:bCs/>
          <w:iCs/>
        </w:rPr>
        <w:t>Istituto per lo sviluppo della formazione professionale dei lavoratori</w:t>
      </w:r>
      <w:r>
        <w:rPr>
          <w:iCs/>
        </w:rPr>
        <w:t xml:space="preserve"> (2012).</w:t>
      </w:r>
      <w:r w:rsidRPr="006C2E57">
        <w:rPr>
          <w:iCs/>
        </w:rPr>
        <w:t xml:space="preserve"> </w:t>
      </w:r>
      <w:r w:rsidRPr="006C2E57">
        <w:rPr>
          <w:i/>
          <w:iCs/>
        </w:rPr>
        <w:t>Rapporto ISFOL 2012. Le competenze per l’occupazione e la crescita</w:t>
      </w:r>
      <w:r>
        <w:rPr>
          <w:iCs/>
        </w:rPr>
        <w:t>.</w:t>
      </w:r>
      <w:r w:rsidRPr="006C2E57">
        <w:rPr>
          <w:iCs/>
        </w:rPr>
        <w:t xml:space="preserve"> Roma, ISFOL.</w:t>
      </w:r>
    </w:p>
    <w:p w14:paraId="47534AD9" w14:textId="0F9DD849" w:rsidR="005354FA" w:rsidRDefault="005354FA" w:rsidP="000F093F">
      <w:pPr>
        <w:ind w:left="284" w:hanging="284"/>
        <w:rPr>
          <w:iCs/>
        </w:rPr>
      </w:pPr>
      <w:r w:rsidRPr="00A509C6">
        <w:rPr>
          <w:iCs/>
          <w:lang w:val="en-US"/>
        </w:rPr>
        <w:t xml:space="preserve">Levy, F., Cannon, C. (2016). </w:t>
      </w:r>
      <w:r w:rsidRPr="00A509C6">
        <w:rPr>
          <w:i/>
          <w:iCs/>
          <w:lang w:val="en-US"/>
        </w:rPr>
        <w:t>The Bloomberg Job Skills Report 2016: What recruiters want</w:t>
      </w:r>
      <w:r w:rsidRPr="00A509C6">
        <w:rPr>
          <w:iCs/>
          <w:lang w:val="en-US"/>
        </w:rPr>
        <w:t xml:space="preserve">. </w:t>
      </w:r>
      <w:r w:rsidRPr="00332ABF">
        <w:rPr>
          <w:iCs/>
        </w:rPr>
        <w:t>Url: http://www</w:t>
      </w:r>
      <w:r w:rsidRPr="00A509C6">
        <w:rPr>
          <w:iCs/>
        </w:rPr>
        <w:t>.bloomberg.com/graph</w:t>
      </w:r>
      <w:r w:rsidRPr="0039419D">
        <w:rPr>
          <w:iCs/>
        </w:rPr>
        <w:t>ics/2016-job-ski</w:t>
      </w:r>
      <w:r>
        <w:rPr>
          <w:iCs/>
        </w:rPr>
        <w:t>llsreport/ (visitato il 03/02/18</w:t>
      </w:r>
      <w:r w:rsidRPr="0039419D">
        <w:rPr>
          <w:iCs/>
        </w:rPr>
        <w:t>).</w:t>
      </w:r>
    </w:p>
    <w:p w14:paraId="4CAA8154" w14:textId="77777777" w:rsidR="005354FA" w:rsidRDefault="005354FA" w:rsidP="000F093F">
      <w:pPr>
        <w:ind w:left="284" w:hanging="284"/>
        <w:rPr>
          <w:iCs/>
        </w:rPr>
      </w:pPr>
      <w:r w:rsidRPr="006C2E57">
        <w:rPr>
          <w:iCs/>
        </w:rPr>
        <w:t xml:space="preserve">Luzzatto G., Mangano S., Moscati R. &amp; Pieri M. (2012), </w:t>
      </w:r>
      <w:proofErr w:type="spellStart"/>
      <w:r w:rsidRPr="006C2E57">
        <w:rPr>
          <w:i/>
          <w:iCs/>
        </w:rPr>
        <w:t>Occupabilità</w:t>
      </w:r>
      <w:proofErr w:type="spellEnd"/>
      <w:r w:rsidRPr="006C2E57">
        <w:rPr>
          <w:i/>
          <w:iCs/>
        </w:rPr>
        <w:t xml:space="preserve"> e competenze dei laureati in Italia</w:t>
      </w:r>
      <w:r w:rsidRPr="006C2E57">
        <w:rPr>
          <w:iCs/>
        </w:rPr>
        <w:t xml:space="preserve">, International Conference </w:t>
      </w:r>
      <w:proofErr w:type="spellStart"/>
      <w:r w:rsidRPr="006C2E57">
        <w:rPr>
          <w:iCs/>
        </w:rPr>
        <w:t>Employability</w:t>
      </w:r>
      <w:proofErr w:type="spellEnd"/>
      <w:r w:rsidRPr="006C2E57">
        <w:rPr>
          <w:iCs/>
        </w:rPr>
        <w:t xml:space="preserve"> of </w:t>
      </w:r>
      <w:proofErr w:type="spellStart"/>
      <w:r w:rsidRPr="006C2E57">
        <w:rPr>
          <w:iCs/>
        </w:rPr>
        <w:t>Graduates</w:t>
      </w:r>
      <w:proofErr w:type="spellEnd"/>
      <w:r w:rsidRPr="006C2E57">
        <w:rPr>
          <w:iCs/>
        </w:rPr>
        <w:t xml:space="preserve"> &amp; </w:t>
      </w:r>
      <w:proofErr w:type="spellStart"/>
      <w:r w:rsidRPr="006C2E57">
        <w:rPr>
          <w:iCs/>
        </w:rPr>
        <w:t>Higher</w:t>
      </w:r>
      <w:proofErr w:type="spellEnd"/>
      <w:r w:rsidRPr="006C2E57">
        <w:rPr>
          <w:iCs/>
        </w:rPr>
        <w:t xml:space="preserve"> </w:t>
      </w:r>
      <w:proofErr w:type="spellStart"/>
      <w:r w:rsidRPr="006C2E57">
        <w:rPr>
          <w:iCs/>
        </w:rPr>
        <w:t>Education</w:t>
      </w:r>
      <w:proofErr w:type="spellEnd"/>
      <w:r w:rsidRPr="006C2E57">
        <w:rPr>
          <w:iCs/>
        </w:rPr>
        <w:t xml:space="preserve"> Management Systems. </w:t>
      </w:r>
      <w:proofErr w:type="spellStart"/>
      <w:r w:rsidRPr="006C2E57">
        <w:rPr>
          <w:iCs/>
        </w:rPr>
        <w:t>Ljubljana</w:t>
      </w:r>
      <w:proofErr w:type="spellEnd"/>
      <w:r w:rsidRPr="006C2E57">
        <w:rPr>
          <w:iCs/>
        </w:rPr>
        <w:t xml:space="preserve">, 27-28/09/12, Url: http://www.centroriformastato.it/wp-content/uploads/Occupazione_e_competenze_dei_laureati-Lubiana_28-09-12.pdf (visitato il </w:t>
      </w:r>
      <w:r>
        <w:rPr>
          <w:iCs/>
        </w:rPr>
        <w:t>03/02/18</w:t>
      </w:r>
      <w:r w:rsidRPr="0039419D">
        <w:rPr>
          <w:iCs/>
        </w:rPr>
        <w:t>).</w:t>
      </w:r>
    </w:p>
    <w:p w14:paraId="0BA65FFF" w14:textId="77777777" w:rsidR="005354FA" w:rsidRPr="005354FA" w:rsidRDefault="005354FA" w:rsidP="000F093F">
      <w:pPr>
        <w:ind w:left="284" w:hanging="284"/>
        <w:rPr>
          <w:iCs/>
          <w:lang w:val="en-US"/>
        </w:rPr>
      </w:pPr>
      <w:r w:rsidRPr="00712AED">
        <w:rPr>
          <w:iCs/>
          <w:lang w:val="en-US"/>
        </w:rPr>
        <w:t xml:space="preserve">Manpower Group (2014). </w:t>
      </w:r>
      <w:r w:rsidRPr="00712AED">
        <w:rPr>
          <w:i/>
          <w:iCs/>
          <w:lang w:val="en-US"/>
        </w:rPr>
        <w:t>Soft skills for Talent</w:t>
      </w:r>
      <w:r w:rsidRPr="00712AED">
        <w:rPr>
          <w:iCs/>
          <w:lang w:val="en-US"/>
        </w:rPr>
        <w:t xml:space="preserve">, Url: http://www.manpowergroup.it/indagine-soft-skills-(visitato </w:t>
      </w:r>
      <w:proofErr w:type="spellStart"/>
      <w:r w:rsidRPr="00712AED">
        <w:rPr>
          <w:iCs/>
          <w:lang w:val="en-US"/>
        </w:rPr>
        <w:t>il</w:t>
      </w:r>
      <w:proofErr w:type="spellEnd"/>
      <w:r w:rsidRPr="00712AED">
        <w:rPr>
          <w:iCs/>
          <w:lang w:val="en-US"/>
        </w:rPr>
        <w:t xml:space="preserve"> </w:t>
      </w:r>
      <w:r w:rsidRPr="005354FA">
        <w:rPr>
          <w:iCs/>
          <w:lang w:val="en-US"/>
        </w:rPr>
        <w:t>03/02/18).</w:t>
      </w:r>
    </w:p>
    <w:p w14:paraId="0521DF01" w14:textId="7741FF7B" w:rsidR="000F093F" w:rsidRPr="00F47D25" w:rsidRDefault="000F093F" w:rsidP="000F093F">
      <w:pPr>
        <w:ind w:left="284" w:hanging="284"/>
        <w:rPr>
          <w:bCs/>
          <w:i/>
          <w:lang w:val="en-GB"/>
        </w:rPr>
      </w:pPr>
      <w:r w:rsidRPr="00EE5F43">
        <w:rPr>
          <w:iCs/>
          <w:lang w:val="en-US"/>
        </w:rPr>
        <w:t xml:space="preserve">OECD, </w:t>
      </w:r>
      <w:proofErr w:type="spellStart"/>
      <w:r w:rsidRPr="00EE5F43">
        <w:rPr>
          <w:iCs/>
          <w:lang w:val="en-US"/>
        </w:rPr>
        <w:t>Organisation</w:t>
      </w:r>
      <w:proofErr w:type="spellEnd"/>
      <w:r w:rsidRPr="00EE5F43">
        <w:rPr>
          <w:iCs/>
          <w:lang w:val="en-US"/>
        </w:rPr>
        <w:t xml:space="preserve"> for Economic Co-operation and Development </w:t>
      </w:r>
      <w:r w:rsidRPr="00F47D25">
        <w:rPr>
          <w:bCs/>
          <w:lang w:val="en-GB"/>
        </w:rPr>
        <w:t xml:space="preserve">(2015). </w:t>
      </w:r>
      <w:r w:rsidRPr="00F47D25">
        <w:rPr>
          <w:bCs/>
          <w:i/>
          <w:lang w:val="en-GB"/>
        </w:rPr>
        <w:t>Skills for Social Progress</w:t>
      </w:r>
      <w:r>
        <w:rPr>
          <w:bCs/>
          <w:i/>
          <w:lang w:val="en-GB"/>
        </w:rPr>
        <w:t>.</w:t>
      </w:r>
      <w:r w:rsidRPr="00F47D25">
        <w:rPr>
          <w:bCs/>
          <w:i/>
          <w:lang w:val="en-GB"/>
        </w:rPr>
        <w:t xml:space="preserve"> The Power of Social and Emotional Skills. </w:t>
      </w:r>
      <w:r w:rsidRPr="00F47D25">
        <w:rPr>
          <w:bCs/>
          <w:lang w:val="en-GB"/>
        </w:rPr>
        <w:t>OECD Skills Studies, OECD Publishing.</w:t>
      </w:r>
    </w:p>
    <w:p w14:paraId="43C0679A" w14:textId="77777777" w:rsidR="005354FA" w:rsidRPr="005354FA" w:rsidRDefault="005354FA" w:rsidP="00B66B78">
      <w:pPr>
        <w:jc w:val="both"/>
        <w:rPr>
          <w:b/>
          <w:lang w:val="en-US"/>
        </w:rPr>
      </w:pPr>
    </w:p>
    <w:sectPr w:rsidR="005354FA" w:rsidRPr="005354FA" w:rsidSect="005E4D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8D4"/>
    <w:multiLevelType w:val="hybridMultilevel"/>
    <w:tmpl w:val="C4E05F5E"/>
    <w:lvl w:ilvl="0" w:tplc="B73058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EB"/>
    <w:rsid w:val="00074FF8"/>
    <w:rsid w:val="000B71AA"/>
    <w:rsid w:val="000F093F"/>
    <w:rsid w:val="00160E10"/>
    <w:rsid w:val="00212474"/>
    <w:rsid w:val="002B1360"/>
    <w:rsid w:val="002C7719"/>
    <w:rsid w:val="0031549E"/>
    <w:rsid w:val="00342BAA"/>
    <w:rsid w:val="003C6792"/>
    <w:rsid w:val="00427918"/>
    <w:rsid w:val="004E163E"/>
    <w:rsid w:val="005354FA"/>
    <w:rsid w:val="005B1365"/>
    <w:rsid w:val="005E0AE8"/>
    <w:rsid w:val="005E4DAF"/>
    <w:rsid w:val="005E5E94"/>
    <w:rsid w:val="005F5044"/>
    <w:rsid w:val="00681172"/>
    <w:rsid w:val="007B71DE"/>
    <w:rsid w:val="007C4C8A"/>
    <w:rsid w:val="007F4D2D"/>
    <w:rsid w:val="008268BF"/>
    <w:rsid w:val="00874642"/>
    <w:rsid w:val="008B1C0F"/>
    <w:rsid w:val="008E03EA"/>
    <w:rsid w:val="009372D0"/>
    <w:rsid w:val="00964FF4"/>
    <w:rsid w:val="009765E3"/>
    <w:rsid w:val="00A42790"/>
    <w:rsid w:val="00A65548"/>
    <w:rsid w:val="00B432EB"/>
    <w:rsid w:val="00B66B78"/>
    <w:rsid w:val="00B94555"/>
    <w:rsid w:val="00BB3F9E"/>
    <w:rsid w:val="00C00B8D"/>
    <w:rsid w:val="00C905F3"/>
    <w:rsid w:val="00CF3AA2"/>
    <w:rsid w:val="00CF3E68"/>
    <w:rsid w:val="00DB0700"/>
    <w:rsid w:val="00F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4D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2EB"/>
    <w:pPr>
      <w:ind w:left="720"/>
      <w:contextualSpacing/>
    </w:pPr>
  </w:style>
  <w:style w:type="paragraph" w:customStyle="1" w:styleId="p1">
    <w:name w:val="p1"/>
    <w:basedOn w:val="Normale"/>
    <w:rsid w:val="004E163E"/>
    <w:rPr>
      <w:rFonts w:ascii="Helvetica" w:hAnsi="Helvetica" w:cs="Times New Roman"/>
      <w:sz w:val="17"/>
      <w:szCs w:val="17"/>
      <w:lang w:eastAsia="it-IT"/>
    </w:rPr>
  </w:style>
  <w:style w:type="paragraph" w:customStyle="1" w:styleId="Default">
    <w:name w:val="Default"/>
    <w:rsid w:val="005B13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e1">
    <w:name w:val="Normale1"/>
    <w:rsid w:val="00212474"/>
    <w:rPr>
      <w:rFonts w:ascii="Times New Roman" w:hAnsi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212474"/>
    <w:pPr>
      <w:ind w:firstLine="283"/>
      <w:jc w:val="both"/>
    </w:pPr>
    <w:rPr>
      <w:rFonts w:ascii="AmeriGarmnd BT" w:eastAsia="Times New Roman" w:hAnsi="AmeriGarmnd BT" w:cs="Times New Roman"/>
      <w:sz w:val="21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2474"/>
    <w:rPr>
      <w:rFonts w:ascii="AmeriGarmnd BT" w:eastAsia="Times New Roman" w:hAnsi="AmeriGarmnd BT" w:cs="Times New Roman"/>
      <w:sz w:val="2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2EB"/>
    <w:pPr>
      <w:ind w:left="720"/>
      <w:contextualSpacing/>
    </w:pPr>
  </w:style>
  <w:style w:type="paragraph" w:customStyle="1" w:styleId="p1">
    <w:name w:val="p1"/>
    <w:basedOn w:val="Normale"/>
    <w:rsid w:val="004E163E"/>
    <w:rPr>
      <w:rFonts w:ascii="Helvetica" w:hAnsi="Helvetica" w:cs="Times New Roman"/>
      <w:sz w:val="17"/>
      <w:szCs w:val="17"/>
      <w:lang w:eastAsia="it-IT"/>
    </w:rPr>
  </w:style>
  <w:style w:type="paragraph" w:customStyle="1" w:styleId="Default">
    <w:name w:val="Default"/>
    <w:rsid w:val="005B13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Normale1">
    <w:name w:val="Normale1"/>
    <w:rsid w:val="00212474"/>
    <w:rPr>
      <w:rFonts w:ascii="Times New Roman" w:hAnsi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212474"/>
    <w:pPr>
      <w:ind w:firstLine="283"/>
      <w:jc w:val="both"/>
    </w:pPr>
    <w:rPr>
      <w:rFonts w:ascii="AmeriGarmnd BT" w:eastAsia="Times New Roman" w:hAnsi="AmeriGarmnd BT" w:cs="Times New Roman"/>
      <w:sz w:val="21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12474"/>
    <w:rPr>
      <w:rFonts w:ascii="AmeriGarmnd BT" w:eastAsia="Times New Roman" w:hAnsi="AmeriGarmnd BT" w:cs="Times New Roman"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Cinque</dc:creator>
  <cp:lastModifiedBy>Paola Fabriani</cp:lastModifiedBy>
  <cp:revision>2</cp:revision>
  <dcterms:created xsi:type="dcterms:W3CDTF">2018-02-20T10:19:00Z</dcterms:created>
  <dcterms:modified xsi:type="dcterms:W3CDTF">2018-02-20T10:19:00Z</dcterms:modified>
</cp:coreProperties>
</file>